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color w:val="auto"/>
          <w:kern w:val="0"/>
          <w:sz w:val="32"/>
          <w:szCs w:val="32"/>
          <w:lang w:val="en-US" w:eastAsia="zh-CN"/>
        </w:rPr>
      </w:pPr>
      <w:bookmarkStart w:id="0" w:name="_GoBack"/>
      <w:bookmarkEnd w:id="0"/>
      <w:r>
        <w:rPr>
          <w:rFonts w:hint="eastAsia" w:ascii="黑体" w:hAnsi="黑体" w:eastAsia="黑体" w:cs="黑体"/>
          <w:b w:val="0"/>
          <w:bCs/>
          <w:color w:val="auto"/>
          <w:kern w:val="0"/>
          <w:sz w:val="32"/>
          <w:szCs w:val="32"/>
        </w:rPr>
        <w:t>附件</w:t>
      </w:r>
      <w:r>
        <w:rPr>
          <w:rFonts w:hint="eastAsia" w:ascii="黑体" w:hAnsi="黑体" w:eastAsia="黑体" w:cs="黑体"/>
          <w:b w:val="0"/>
          <w:bCs/>
          <w:color w:val="auto"/>
          <w:kern w:val="0"/>
          <w:sz w:val="32"/>
          <w:szCs w:val="32"/>
          <w:lang w:val="en-US" w:eastAsia="zh-CN"/>
        </w:rPr>
        <w:t>5</w:t>
      </w:r>
    </w:p>
    <w:p>
      <w:pPr>
        <w:keepNext w:val="0"/>
        <w:keepLines w:val="0"/>
        <w:pageBreakBefore w:val="0"/>
        <w:widowControl/>
        <w:suppressAutoHyphens/>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中国体育旅游精品线路申报表</w:t>
      </w:r>
    </w:p>
    <w:p>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color w:val="auto"/>
          <w:kern w:val="0"/>
          <w:sz w:val="32"/>
          <w:szCs w:val="32"/>
        </w:rPr>
      </w:pPr>
    </w:p>
    <w:p>
      <w:pPr>
        <w:keepNext w:val="0"/>
        <w:keepLines w:val="0"/>
        <w:pageBreakBefore w:val="0"/>
        <w:widowControl/>
        <w:suppressAutoHyphen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申报单位（公章）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                          年   月   日</w:t>
      </w:r>
    </w:p>
    <w:tbl>
      <w:tblPr>
        <w:tblStyle w:val="2"/>
        <w:tblW w:w="0" w:type="auto"/>
        <w:tblInd w:w="0" w:type="dxa"/>
        <w:tblLayout w:type="fixed"/>
        <w:tblCellMar>
          <w:top w:w="0" w:type="dxa"/>
          <w:left w:w="108" w:type="dxa"/>
          <w:bottom w:w="0" w:type="dxa"/>
          <w:right w:w="108" w:type="dxa"/>
        </w:tblCellMar>
      </w:tblPr>
      <w:tblGrid>
        <w:gridCol w:w="1668"/>
        <w:gridCol w:w="2551"/>
        <w:gridCol w:w="17"/>
        <w:gridCol w:w="1684"/>
        <w:gridCol w:w="3008"/>
      </w:tblGrid>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线路名称</w:t>
            </w:r>
          </w:p>
        </w:tc>
        <w:tc>
          <w:tcPr>
            <w:tcW w:w="7260" w:type="dxa"/>
            <w:gridSpan w:val="4"/>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申报单位</w:t>
            </w:r>
          </w:p>
        </w:tc>
        <w:tc>
          <w:tcPr>
            <w:tcW w:w="7260" w:type="dxa"/>
            <w:gridSpan w:val="4"/>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职务</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办公电话</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移动电话</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电子邮箱</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通讯地址</w:t>
            </w:r>
          </w:p>
        </w:tc>
        <w:tc>
          <w:tcPr>
            <w:tcW w:w="300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主管部门</w:t>
            </w:r>
          </w:p>
        </w:tc>
        <w:tc>
          <w:tcPr>
            <w:tcW w:w="7260" w:type="dxa"/>
            <w:gridSpan w:val="4"/>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w:t>
            </w:r>
          </w:p>
        </w:tc>
        <w:tc>
          <w:tcPr>
            <w:tcW w:w="2551" w:type="dxa"/>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c>
          <w:tcPr>
            <w:tcW w:w="1701" w:type="dxa"/>
            <w:gridSpan w:val="2"/>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职务</w:t>
            </w:r>
          </w:p>
        </w:tc>
        <w:tc>
          <w:tcPr>
            <w:tcW w:w="3008" w:type="dxa"/>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3" w:hRule="atLeast"/>
        </w:trPr>
        <w:tc>
          <w:tcPr>
            <w:tcW w:w="1668"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办公电话</w:t>
            </w:r>
          </w:p>
        </w:tc>
        <w:tc>
          <w:tcPr>
            <w:tcW w:w="2551" w:type="dxa"/>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c>
          <w:tcPr>
            <w:tcW w:w="1701" w:type="dxa"/>
            <w:gridSpan w:val="2"/>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移动电话</w:t>
            </w:r>
          </w:p>
        </w:tc>
        <w:tc>
          <w:tcPr>
            <w:tcW w:w="3008" w:type="dxa"/>
            <w:tcBorders>
              <w:top w:val="single" w:color="000000" w:sz="4" w:space="0"/>
              <w:left w:val="nil"/>
              <w:bottom w:val="single" w:color="000000" w:sz="4" w:space="0"/>
              <w:right w:val="single" w:color="000000" w:sz="4" w:space="0"/>
            </w:tcBorders>
            <w:noWrap w:val="0"/>
            <w:vAlign w:val="center"/>
          </w:tcPr>
          <w:p>
            <w:pPr>
              <w:widowControl/>
              <w:suppressAutoHyphens/>
              <w:bidi w:val="0"/>
              <w:spacing w:line="400" w:lineRule="exact"/>
              <w:jc w:val="both"/>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598" w:hRule="atLeast"/>
        </w:trPr>
        <w:tc>
          <w:tcPr>
            <w:tcW w:w="423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300" w:lineRule="auto"/>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pacing w:val="1"/>
                <w:w w:val="92"/>
                <w:kern w:val="0"/>
                <w:sz w:val="28"/>
                <w:szCs w:val="28"/>
                <w:fitText w:val="4160" w:id="1116499834"/>
              </w:rPr>
              <w:t>近三年是否获得十佳或入选精品项</w:t>
            </w:r>
            <w:r>
              <w:rPr>
                <w:rFonts w:hint="eastAsia" w:ascii="仿宋_GB2312" w:hAnsi="仿宋_GB2312" w:eastAsia="仿宋_GB2312" w:cs="仿宋_GB2312"/>
                <w:color w:val="auto"/>
                <w:spacing w:val="18"/>
                <w:w w:val="92"/>
                <w:kern w:val="0"/>
                <w:sz w:val="28"/>
                <w:szCs w:val="28"/>
                <w:fitText w:val="4160" w:id="1116499834"/>
              </w:rPr>
              <w:t>目</w:t>
            </w:r>
          </w:p>
        </w:tc>
        <w:tc>
          <w:tcPr>
            <w:tcW w:w="46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300" w:lineRule="auto"/>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28"/>
                <w:szCs w:val="28"/>
              </w:rPr>
              <w:t>□十佳         □精品项目</w:t>
            </w:r>
            <w:r>
              <w:rPr>
                <w:rFonts w:hint="eastAsia" w:ascii="仿宋_GB2312" w:hAnsi="仿宋_GB2312" w:eastAsia="仿宋_GB2312" w:cs="仿宋_GB2312"/>
                <w:color w:val="auto"/>
                <w:kern w:val="0"/>
                <w:sz w:val="32"/>
                <w:szCs w:val="32"/>
              </w:rPr>
              <w:t xml:space="preserve">   </w:t>
            </w:r>
          </w:p>
        </w:tc>
      </w:tr>
      <w:tr>
        <w:tblPrEx>
          <w:tblCellMar>
            <w:top w:w="0" w:type="dxa"/>
            <w:left w:w="108" w:type="dxa"/>
            <w:bottom w:w="0" w:type="dxa"/>
            <w:right w:w="108" w:type="dxa"/>
          </w:tblCellMar>
        </w:tblPrEx>
        <w:trPr>
          <w:trHeight w:val="598" w:hRule="atLeast"/>
        </w:trPr>
        <w:tc>
          <w:tcPr>
            <w:tcW w:w="423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300" w:lineRule="auto"/>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pacing w:val="1"/>
                <w:w w:val="99"/>
                <w:kern w:val="0"/>
                <w:sz w:val="28"/>
                <w:szCs w:val="28"/>
                <w:fitText w:val="4160" w:id="1508859157"/>
                <w:lang w:eastAsia="zh-CN"/>
              </w:rPr>
              <w:t>是否入选</w:t>
            </w:r>
            <w:r>
              <w:rPr>
                <w:rFonts w:hint="eastAsia" w:ascii="仿宋_GB2312" w:hAnsi="仿宋_GB2312" w:eastAsia="仿宋_GB2312" w:cs="仿宋_GB2312"/>
                <w:color w:val="auto"/>
                <w:spacing w:val="1"/>
                <w:w w:val="99"/>
                <w:kern w:val="0"/>
                <w:sz w:val="28"/>
                <w:szCs w:val="28"/>
                <w:fitText w:val="4160" w:id="1508859157"/>
              </w:rPr>
              <w:t>黄金周体育旅游精品线</w:t>
            </w:r>
            <w:r>
              <w:rPr>
                <w:rFonts w:hint="eastAsia" w:ascii="仿宋_GB2312" w:hAnsi="仿宋_GB2312" w:eastAsia="仿宋_GB2312" w:cs="仿宋_GB2312"/>
                <w:color w:val="auto"/>
                <w:spacing w:val="0"/>
                <w:w w:val="99"/>
                <w:kern w:val="0"/>
                <w:sz w:val="28"/>
                <w:szCs w:val="28"/>
                <w:fitText w:val="4160" w:id="1508859157"/>
              </w:rPr>
              <w:t>路</w:t>
            </w:r>
          </w:p>
        </w:tc>
        <w:tc>
          <w:tcPr>
            <w:tcW w:w="46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300" w:lineRule="auto"/>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□十一黄金周   □春节黄金周</w:t>
            </w: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line="400" w:lineRule="exact"/>
              <w:jc w:val="center"/>
              <w:rPr>
                <w:rFonts w:hint="eastAsia"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线路基本情况</w:t>
            </w:r>
          </w:p>
        </w:tc>
      </w:tr>
      <w:tr>
        <w:tblPrEx>
          <w:tblCellMar>
            <w:top w:w="0" w:type="dxa"/>
            <w:left w:w="108" w:type="dxa"/>
            <w:bottom w:w="0" w:type="dxa"/>
            <w:right w:w="108" w:type="dxa"/>
          </w:tblCellMar>
        </w:tblPrEx>
        <w:trPr>
          <w:trHeight w:val="462"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000000"/>
                <w:kern w:val="0"/>
                <w:sz w:val="32"/>
                <w:szCs w:val="32"/>
              </w:rPr>
              <w:t>1.体育项目资源匹配情况，包括线路长度</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旅游活动安排</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与依托的体育项目匹配情况；开展的体育项目数量和质量；依托线路开展的运动会、体育赛事、节事、体育博（展）览会等项目的数量和质量；体育场馆、体育博物馆、体育遗迹、体育景观等体育资源利用情况。</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rPr>
              <w:t>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napToGrid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体育设备设施配备情况，是否有专业性、标准化的体育设备设施，相关体育设备设施的安全情况说明；专业指导人员、安全员、救护员及服务人员的数量和比例；重点岗位服务人员的专业资质与技能培训情况。（100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2168"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000000"/>
                <w:kern w:val="0"/>
                <w:sz w:val="32"/>
                <w:szCs w:val="32"/>
              </w:rPr>
              <w:t>交通、通讯设备设施配备和服务情况</w:t>
            </w:r>
            <w:r>
              <w:rPr>
                <w:rFonts w:hint="eastAsia" w:ascii="Times New Roman" w:hAnsi="Times New Roman" w:eastAsia="仿宋_GB2312" w:cs="Times New Roman"/>
                <w:color w:val="auto"/>
                <w:kern w:val="0"/>
                <w:sz w:val="32"/>
                <w:szCs w:val="32"/>
              </w:rPr>
              <w:t>，包括但不限于</w:t>
            </w:r>
            <w:r>
              <w:rPr>
                <w:rFonts w:hint="eastAsia" w:ascii="Times New Roman" w:hAnsi="Times New Roman" w:eastAsia="仿宋_GB2312" w:cs="Times New Roman"/>
                <w:color w:val="000000"/>
                <w:kern w:val="0"/>
                <w:sz w:val="32"/>
                <w:szCs w:val="32"/>
              </w:rPr>
              <w:t>线路进入性说明；道路等级，近三年年均旅游者数量和黄金周旅游者数量，主要旅游交通工具类型等；停车场或船舶码头的数量、位置、容量等；通讯设备设施保障情况，有无信号盲区等。</w:t>
            </w:r>
            <w:r>
              <w:rPr>
                <w:rFonts w:hint="eastAsia" w:ascii="Times New Roman" w:hAnsi="Times New Roman" w:eastAsia="仿宋_GB2312" w:cs="Times New Roman"/>
                <w:color w:val="auto"/>
                <w:kern w:val="0"/>
                <w:sz w:val="32"/>
                <w:szCs w:val="32"/>
              </w:rPr>
              <w:t>（100字以内）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4.</w:t>
            </w:r>
            <w:r>
              <w:rPr>
                <w:rFonts w:hint="eastAsia" w:ascii="Times New Roman" w:hAnsi="Times New Roman" w:eastAsia="仿宋_GB2312" w:cs="Times New Roman"/>
                <w:color w:val="000000"/>
                <w:kern w:val="0"/>
                <w:sz w:val="32"/>
                <w:szCs w:val="32"/>
              </w:rPr>
              <w:t>适游性及相关设施，包括线路或沿途旅游吸引物要素情况；适游人群范围情况；适游时间情况；游客服务中心或服务点、环保卫生间和休息台</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椅</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，观赏专门区域</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设施</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、食宿购物等配套各项适游设施设备配备和分布情况。</w:t>
            </w:r>
            <w:r>
              <w:rPr>
                <w:rFonts w:hint="eastAsia" w:ascii="Times New Roman" w:hAnsi="Times New Roman" w:eastAsia="仿宋_GB2312" w:cs="Times New Roman"/>
                <w:color w:val="auto"/>
                <w:kern w:val="0"/>
                <w:sz w:val="32"/>
                <w:szCs w:val="32"/>
              </w:rPr>
              <w:t>（200字以内）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3755"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5.</w:t>
            </w:r>
            <w:r>
              <w:rPr>
                <w:rFonts w:hint="eastAsia" w:ascii="Times New Roman" w:hAnsi="Times New Roman" w:eastAsia="仿宋_GB2312" w:cs="Times New Roman"/>
                <w:color w:val="000000"/>
                <w:kern w:val="0"/>
                <w:sz w:val="32"/>
                <w:szCs w:val="32"/>
              </w:rPr>
              <w:t>安全保障措施，包括线路运营机构体育旅游安全组织领导制度建立情况；体育运动安全和旅游安全管理相关规章制度建立情况；突发事件应急预案制定及演练情况；线路值勤安全员（救护员）、急救药箱配备情况；线路运营机构安全生产类责任保险购买情况。</w:t>
            </w:r>
            <w:r>
              <w:rPr>
                <w:rFonts w:hint="eastAsia" w:ascii="Times New Roman" w:hAnsi="Times New Roman" w:eastAsia="仿宋_GB2312" w:cs="Times New Roman"/>
                <w:color w:val="auto"/>
                <w:kern w:val="0"/>
                <w:sz w:val="32"/>
                <w:szCs w:val="32"/>
              </w:rPr>
              <w:t>（100字以内）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6.</w:t>
            </w:r>
            <w:r>
              <w:rPr>
                <w:rFonts w:hint="eastAsia" w:ascii="Times New Roman" w:hAnsi="Times New Roman" w:eastAsia="仿宋_GB2312" w:cs="Times New Roman"/>
                <w:color w:val="000000"/>
                <w:kern w:val="0"/>
                <w:sz w:val="32"/>
                <w:szCs w:val="32"/>
              </w:rPr>
              <w:t>环境保护措施</w:t>
            </w:r>
            <w:r>
              <w:rPr>
                <w:rFonts w:hint="eastAsia" w:ascii="Times New Roman" w:hAnsi="Times New Roman" w:eastAsia="仿宋_GB2312" w:cs="Times New Roman"/>
                <w:color w:val="auto"/>
                <w:kern w:val="0"/>
                <w:sz w:val="32"/>
                <w:szCs w:val="32"/>
              </w:rPr>
              <w:t>，包括落实</w:t>
            </w:r>
            <w:r>
              <w:rPr>
                <w:rFonts w:hint="eastAsia" w:ascii="Times New Roman" w:hAnsi="Times New Roman" w:eastAsia="仿宋_GB2312" w:cs="Times New Roman"/>
                <w:color w:val="000000"/>
                <w:kern w:val="0"/>
                <w:sz w:val="32"/>
                <w:szCs w:val="32"/>
              </w:rPr>
              <w:t>国家生态保护要求的相关措施；游客环保教育和环保规范措施情况；垃圾日清等环保工作机制和员工环保培训等规章制度建立与执行情况。</w:t>
            </w:r>
            <w:r>
              <w:rPr>
                <w:rFonts w:hint="eastAsia" w:ascii="Times New Roman" w:hAnsi="Times New Roman" w:eastAsia="仿宋_GB2312" w:cs="Times New Roman"/>
                <w:color w:val="auto"/>
                <w:kern w:val="0"/>
                <w:sz w:val="32"/>
                <w:szCs w:val="32"/>
              </w:rPr>
              <w:t>（100字以内）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7.</w:t>
            </w:r>
            <w:r>
              <w:rPr>
                <w:rFonts w:hint="eastAsia" w:ascii="Times New Roman" w:hAnsi="Times New Roman" w:eastAsia="仿宋_GB2312" w:cs="Times New Roman"/>
                <w:color w:val="000000"/>
                <w:kern w:val="0"/>
                <w:sz w:val="32"/>
                <w:szCs w:val="32"/>
              </w:rPr>
              <w:t>营销推广和品牌影响力</w:t>
            </w:r>
            <w:r>
              <w:rPr>
                <w:rFonts w:hint="eastAsia" w:ascii="Times New Roman" w:hAnsi="Times New Roman" w:eastAsia="仿宋_GB2312" w:cs="Times New Roman"/>
                <w:color w:val="auto"/>
                <w:kern w:val="0"/>
                <w:sz w:val="32"/>
                <w:szCs w:val="32"/>
              </w:rPr>
              <w:t>，包括</w:t>
            </w:r>
            <w:r>
              <w:rPr>
                <w:rFonts w:hint="eastAsia" w:ascii="Times New Roman" w:hAnsi="Times New Roman" w:eastAsia="仿宋_GB2312" w:cs="Times New Roman"/>
                <w:color w:val="000000"/>
                <w:kern w:val="0"/>
                <w:sz w:val="32"/>
                <w:szCs w:val="32"/>
              </w:rPr>
              <w:t>线路主要营销措施，前期推广覆盖市场范围情况；传统媒体、新媒体、市场营销和广告推销等传播渠道营销情况；线路商标权、专有名称权或其他体育旅游线路品牌相关权益的开发情况。</w:t>
            </w:r>
            <w:r>
              <w:rPr>
                <w:rFonts w:hint="eastAsia" w:ascii="Times New Roman" w:hAnsi="Times New Roman" w:eastAsia="仿宋_GB2312" w:cs="Times New Roman"/>
                <w:color w:val="auto"/>
                <w:kern w:val="0"/>
                <w:sz w:val="32"/>
                <w:szCs w:val="32"/>
              </w:rPr>
              <w:t>（200字以内）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8.</w:t>
            </w:r>
            <w:r>
              <w:rPr>
                <w:rFonts w:hint="eastAsia" w:ascii="Times New Roman" w:hAnsi="Times New Roman" w:eastAsia="仿宋_GB2312" w:cs="Times New Roman"/>
                <w:color w:val="000000"/>
                <w:kern w:val="0"/>
                <w:sz w:val="32"/>
                <w:szCs w:val="32"/>
              </w:rPr>
              <w:t>可持续发展，包括体育旅游线路主题与区域发展、社会发展和民族发展等国家政策的融合情况；近三年体育旅游线路参与游客人数的年度变化情况。</w:t>
            </w:r>
            <w:r>
              <w:rPr>
                <w:rFonts w:hint="eastAsia" w:ascii="Times New Roman" w:hAnsi="Times New Roman" w:eastAsia="仿宋_GB2312" w:cs="Times New Roman"/>
                <w:color w:val="auto"/>
                <w:kern w:val="0"/>
                <w:sz w:val="32"/>
                <w:szCs w:val="32"/>
              </w:rPr>
              <w:t>（100字以内）</w:t>
            </w: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779" w:hRule="atLeast"/>
        </w:trPr>
        <w:tc>
          <w:tcPr>
            <w:tcW w:w="8928"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numPr>
                <w:ilvl w:val="0"/>
                <w:numId w:val="1"/>
              </w:numPr>
              <w:suppressAutoHyphens/>
              <w:bidi w:val="0"/>
              <w:spacing w:line="400" w:lineRule="exact"/>
              <w:jc w:val="both"/>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000000"/>
                <w:kern w:val="0"/>
                <w:sz w:val="32"/>
                <w:szCs w:val="32"/>
              </w:rPr>
              <w:t>文化及其他特色元素融合情况，包括文化特色总体表现情况；教育元素、大健康元素、康养元素等其他特色元素的融合情况等。</w:t>
            </w:r>
            <w:r>
              <w:rPr>
                <w:rFonts w:hint="eastAsia" w:ascii="Times New Roman" w:hAnsi="Times New Roman" w:eastAsia="仿宋_GB2312" w:cs="Times New Roman"/>
                <w:color w:val="auto"/>
                <w:kern w:val="0"/>
                <w:sz w:val="32"/>
                <w:szCs w:val="32"/>
              </w:rPr>
              <w:t>（100字以内）</w:t>
            </w:r>
          </w:p>
          <w:p>
            <w:pPr>
              <w:widowControl/>
              <w:numPr>
                <w:ilvl w:val="0"/>
                <w:numId w:val="0"/>
              </w:numPr>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p>
            <w:pPr>
              <w:widowControl/>
              <w:suppressAutoHyphens/>
              <w:bidi w:val="0"/>
              <w:spacing w:line="400" w:lineRule="exact"/>
              <w:jc w:val="both"/>
              <w:rPr>
                <w:rFonts w:hint="eastAsia" w:ascii="Times New Roman" w:hAnsi="Times New Roman" w:eastAsia="仿宋_GB2312" w:cs="Times New Roman"/>
                <w:color w:val="auto"/>
                <w:kern w:val="0"/>
                <w:sz w:val="32"/>
                <w:szCs w:val="32"/>
              </w:rPr>
            </w:pPr>
          </w:p>
        </w:tc>
      </w:tr>
    </w:tbl>
    <w:p>
      <w:pPr>
        <w:suppressAutoHyphens/>
        <w:bidi w:val="0"/>
        <w:jc w:val="both"/>
        <w:rPr>
          <w:rFonts w:hint="eastAsia" w:ascii="仿宋_GB2312" w:hAnsi="仿宋_GB2312" w:eastAsia="仿宋_GB2312" w:cs="仿宋_GB2312"/>
          <w:b/>
          <w:color w:val="000000"/>
          <w:kern w:val="0"/>
          <w:sz w:val="32"/>
          <w:szCs w:val="32"/>
          <w:lang w:eastAsia="zh-CN"/>
        </w:rPr>
      </w:pPr>
      <w:r>
        <w:rPr>
          <w:rFonts w:hint="eastAsia" w:ascii="仿宋_GB2312" w:hAnsi="仿宋_GB2312" w:eastAsia="仿宋_GB2312" w:cs="仿宋_GB2312"/>
          <w:b/>
          <w:color w:val="000000"/>
          <w:kern w:val="0"/>
          <w:sz w:val="32"/>
          <w:szCs w:val="32"/>
        </w:rPr>
        <w:t>填表说明</w:t>
      </w:r>
      <w:r>
        <w:rPr>
          <w:rFonts w:hint="eastAsia" w:ascii="仿宋_GB2312" w:hAnsi="仿宋_GB2312" w:eastAsia="仿宋_GB2312" w:cs="仿宋_GB2312"/>
          <w:b/>
          <w:color w:val="000000"/>
          <w:kern w:val="0"/>
          <w:sz w:val="32"/>
          <w:szCs w:val="32"/>
          <w:lang w:eastAsia="zh-CN"/>
        </w:rPr>
        <w:t>：</w:t>
      </w:r>
    </w:p>
    <w:p>
      <w:pPr>
        <w:suppressAutoHyphens/>
        <w:bidi w:val="0"/>
        <w:jc w:val="both"/>
        <w:rPr>
          <w:rFonts w:hint="default" w:ascii="Times New Roman" w:hAnsi="Times New Roman" w:eastAsia="仿宋_GB2312" w:cs="Times New Roman"/>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default" w:ascii="Times New Roman" w:hAnsi="Times New Roman" w:eastAsia="仿宋_GB2312" w:cs="Times New Roman"/>
          <w:color w:val="000000"/>
          <w:kern w:val="0"/>
          <w:sz w:val="32"/>
          <w:szCs w:val="32"/>
        </w:rPr>
        <w:t>1.申报表必须如实填写，要反映体育旅游线路的真实情况，发现虚</w:t>
      </w:r>
      <w:r>
        <w:rPr>
          <w:rFonts w:hint="default" w:ascii="Times New Roman" w:hAnsi="Times New Roman" w:eastAsia="仿宋_GB2312" w:cs="Times New Roman"/>
          <w:color w:val="000000"/>
          <w:kern w:val="0"/>
          <w:sz w:val="32"/>
          <w:szCs w:val="32"/>
          <w:lang w:eastAsia="zh-CN"/>
        </w:rPr>
        <w:t>假</w:t>
      </w:r>
      <w:r>
        <w:rPr>
          <w:rFonts w:hint="default" w:ascii="Times New Roman" w:hAnsi="Times New Roman" w:eastAsia="仿宋_GB2312" w:cs="Times New Roman"/>
          <w:color w:val="000000"/>
          <w:kern w:val="0"/>
          <w:sz w:val="32"/>
          <w:szCs w:val="32"/>
        </w:rPr>
        <w:t>填报的，取消评审资格，三年内不得申报各类体育旅游精品项目。</w:t>
      </w:r>
    </w:p>
    <w:p>
      <w:pPr>
        <w:suppressAutoHyphens/>
        <w:bidi w:val="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2.申报表所填内容要有实际证明材料和数据支持，如游客数量有门票价格和收入等财务报表支持，责任保险要有保险单支持，商标要有商标证书支持。</w:t>
      </w:r>
    </w:p>
    <w:p>
      <w:pPr>
        <w:suppressAutoHyphens/>
        <w:bidi w:val="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3.申报表相关证明材料可作为附件与申报表一并报送，但要按申报表的九大分类分别制作成相应的文件包。</w:t>
      </w:r>
    </w:p>
    <w:p>
      <w:pPr>
        <w:suppressAutoHyphens/>
        <w:bidi w:val="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4.申报单位系指申报的体育旅游线路的运营管理单位。联系人请填写负责经营管理总体工作的相关人员，并保证评审过程中能及时联系核实申报信息。</w:t>
      </w:r>
    </w:p>
    <w:p>
      <w:pPr>
        <w:keepNext w:val="0"/>
        <w:keepLines w:val="0"/>
        <w:pageBreakBefore w:val="0"/>
        <w:widowControl w:val="0"/>
        <w:suppressAutoHyphens/>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color w:val="000000"/>
          <w:kern w:val="0"/>
          <w:sz w:val="32"/>
          <w:szCs w:val="32"/>
        </w:rPr>
        <w:t>5.主管单位系指申报的体育旅游线路的业务主管部门，包括但不限</w:t>
      </w:r>
      <w:r>
        <w:rPr>
          <w:rFonts w:hint="eastAsia" w:ascii="Times New Roman" w:hAnsi="Times New Roman" w:eastAsia="仿宋_GB2312" w:cs="Times New Roman"/>
          <w:color w:val="000000"/>
          <w:kern w:val="0"/>
          <w:sz w:val="32"/>
          <w:szCs w:val="32"/>
          <w:lang w:eastAsia="zh-CN"/>
        </w:rPr>
        <w:t>于</w:t>
      </w:r>
      <w:r>
        <w:rPr>
          <w:rFonts w:hint="default" w:ascii="Times New Roman" w:hAnsi="Times New Roman" w:eastAsia="仿宋_GB2312" w:cs="Times New Roman"/>
          <w:color w:val="000000"/>
          <w:kern w:val="0"/>
          <w:sz w:val="32"/>
          <w:szCs w:val="32"/>
        </w:rPr>
        <w:t>体育主管部门、旅游主管部门或景区管委会属地政府业务主管部门。联系人请填写分管该项工作的相关人员，并保证评审过程中能及时联系核实申报信息。</w:t>
      </w:r>
    </w:p>
    <w:p/>
    <w:sectPr>
      <w:pgSz w:w="11906" w:h="16838"/>
      <w:pgMar w:top="2098" w:right="1531" w:bottom="1531"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A6489"/>
    <w:multiLevelType w:val="singleLevel"/>
    <w:tmpl w:val="C7BA6489"/>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90813"/>
    <w:rsid w:val="36790813"/>
    <w:rsid w:val="5FFD8D1D"/>
    <w:rsid w:val="615F0C8D"/>
    <w:rsid w:val="63AF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2026-04-07T15:52:00Z</dcterms:created>
  <dc:creator>WPS_1666158525</dc:creator>
  <cp:lastModifiedBy>ttly</cp:lastModifiedBy>
  <dcterms:modified xsi:type="dcterms:W3CDTF">2026-04-16T11:05:46Z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DD41208F5C0A42BA9DC2F41430AF1D36_11</vt:lpwstr>
  </property>
  <property fmtid="{D5CDD505-2E9C-101B-9397-08002B2CF9AE}" pid="4" name="KSOTemplateDocerSaveRecord">
    <vt:lpwstr>eyJoZGlkIjoiNThmMTIzNDRjZGY1ZjA0ZDdlYzRkYjUwZGM1NGZiYTYiLCJ1c2VySWQiOiIxNDI1NzQ1MTk3In0=</vt:lpwstr>
  </property>
</Properties>
</file>