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
        <w:gridCol w:w="542"/>
        <w:gridCol w:w="465"/>
        <w:gridCol w:w="1081"/>
        <w:gridCol w:w="1707"/>
        <w:gridCol w:w="2203"/>
        <w:gridCol w:w="1582"/>
        <w:gridCol w:w="865"/>
        <w:gridCol w:w="909"/>
        <w:gridCol w:w="2956"/>
      </w:tblGrid>
      <w:tr w14:paraId="238F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1048" w:type="dxa"/>
            <w:gridSpan w:val="2"/>
            <w:tcBorders>
              <w:top w:val="nil"/>
              <w:left w:val="nil"/>
              <w:bottom w:val="nil"/>
              <w:right w:val="nil"/>
            </w:tcBorders>
            <w:noWrap w:val="0"/>
            <w:vAlign w:val="center"/>
          </w:tcPr>
          <w:p w14:paraId="42779DE6">
            <w:pPr>
              <w:keepNext w:val="0"/>
              <w:keepLines w:val="0"/>
              <w:widowControl/>
              <w:suppressLineNumbers w:val="0"/>
              <w:jc w:val="left"/>
              <w:textAlignment w:val="center"/>
              <w:rPr>
                <w:rFonts w:hint="eastAsia" w:ascii="黑体" w:hAnsi="宋体" w:eastAsia="黑体" w:cs="黑体"/>
                <w:i w:val="0"/>
                <w:color w:val="000000"/>
                <w:sz w:val="36"/>
                <w:szCs w:val="36"/>
                <w:u w:val="none"/>
                <w:lang w:val="en" w:eastAsia="zh-CN"/>
              </w:rPr>
            </w:pPr>
            <w:r>
              <w:rPr>
                <w:rFonts w:hint="eastAsia" w:ascii="黑体" w:hAnsi="宋体" w:eastAsia="黑体" w:cs="黑体"/>
                <w:i w:val="0"/>
                <w:color w:val="000000"/>
                <w:sz w:val="32"/>
                <w:szCs w:val="32"/>
                <w:u w:val="none"/>
                <w:lang w:eastAsia="zh-CN"/>
              </w:rPr>
              <w:t>附件</w:t>
            </w:r>
          </w:p>
        </w:tc>
        <w:tc>
          <w:tcPr>
            <w:tcW w:w="465" w:type="dxa"/>
            <w:tcBorders>
              <w:top w:val="nil"/>
              <w:left w:val="nil"/>
              <w:bottom w:val="nil"/>
              <w:right w:val="nil"/>
            </w:tcBorders>
            <w:noWrap w:val="0"/>
            <w:vAlign w:val="center"/>
          </w:tcPr>
          <w:p w14:paraId="2A289BE7">
            <w:pPr>
              <w:rPr>
                <w:rFonts w:hint="eastAsia" w:ascii="黑体" w:hAnsi="宋体" w:eastAsia="黑体" w:cs="黑体"/>
                <w:i w:val="0"/>
                <w:color w:val="000000"/>
                <w:sz w:val="36"/>
                <w:szCs w:val="36"/>
                <w:u w:val="none"/>
                <w:lang w:eastAsia="zh-CN"/>
              </w:rPr>
            </w:pPr>
          </w:p>
        </w:tc>
        <w:tc>
          <w:tcPr>
            <w:tcW w:w="1081" w:type="dxa"/>
            <w:tcBorders>
              <w:top w:val="nil"/>
              <w:left w:val="nil"/>
              <w:bottom w:val="nil"/>
              <w:right w:val="nil"/>
            </w:tcBorders>
            <w:noWrap w:val="0"/>
            <w:vAlign w:val="center"/>
          </w:tcPr>
          <w:p w14:paraId="2D854FD4">
            <w:pPr>
              <w:rPr>
                <w:rFonts w:hint="eastAsia" w:ascii="黑体" w:hAnsi="宋体" w:eastAsia="黑体" w:cs="黑体"/>
                <w:i w:val="0"/>
                <w:color w:val="000000"/>
                <w:sz w:val="24"/>
                <w:szCs w:val="24"/>
                <w:u w:val="none"/>
              </w:rPr>
            </w:pPr>
          </w:p>
        </w:tc>
        <w:tc>
          <w:tcPr>
            <w:tcW w:w="1707" w:type="dxa"/>
            <w:tcBorders>
              <w:top w:val="nil"/>
              <w:left w:val="nil"/>
              <w:bottom w:val="nil"/>
              <w:right w:val="nil"/>
            </w:tcBorders>
            <w:noWrap w:val="0"/>
            <w:vAlign w:val="center"/>
          </w:tcPr>
          <w:p w14:paraId="6DA25EF6">
            <w:pPr>
              <w:rPr>
                <w:rFonts w:hint="eastAsia" w:ascii="黑体" w:hAnsi="宋体" w:eastAsia="黑体" w:cs="黑体"/>
                <w:i w:val="0"/>
                <w:color w:val="000000"/>
                <w:sz w:val="24"/>
                <w:szCs w:val="24"/>
                <w:u w:val="none"/>
              </w:rPr>
            </w:pPr>
          </w:p>
        </w:tc>
        <w:tc>
          <w:tcPr>
            <w:tcW w:w="2203" w:type="dxa"/>
            <w:tcBorders>
              <w:top w:val="nil"/>
              <w:left w:val="nil"/>
              <w:bottom w:val="nil"/>
              <w:right w:val="nil"/>
            </w:tcBorders>
            <w:noWrap w:val="0"/>
            <w:vAlign w:val="center"/>
          </w:tcPr>
          <w:p w14:paraId="5C99BAAA">
            <w:pPr>
              <w:rPr>
                <w:rFonts w:hint="eastAsia" w:ascii="宋体" w:hAnsi="宋体" w:eastAsia="宋体" w:cs="宋体"/>
                <w:i w:val="0"/>
                <w:color w:val="000000"/>
                <w:sz w:val="24"/>
                <w:szCs w:val="24"/>
                <w:u w:val="none"/>
              </w:rPr>
            </w:pPr>
          </w:p>
        </w:tc>
        <w:tc>
          <w:tcPr>
            <w:tcW w:w="1582" w:type="dxa"/>
            <w:tcBorders>
              <w:top w:val="nil"/>
              <w:left w:val="nil"/>
              <w:bottom w:val="nil"/>
              <w:right w:val="nil"/>
            </w:tcBorders>
            <w:noWrap w:val="0"/>
            <w:vAlign w:val="center"/>
          </w:tcPr>
          <w:p w14:paraId="7C6A1B57">
            <w:pPr>
              <w:rPr>
                <w:rFonts w:hint="eastAsia" w:ascii="宋体" w:hAnsi="宋体" w:eastAsia="宋体" w:cs="宋体"/>
                <w:i w:val="0"/>
                <w:color w:val="000000"/>
                <w:sz w:val="24"/>
                <w:szCs w:val="24"/>
                <w:u w:val="none"/>
              </w:rPr>
            </w:pPr>
          </w:p>
        </w:tc>
        <w:tc>
          <w:tcPr>
            <w:tcW w:w="865" w:type="dxa"/>
            <w:tcBorders>
              <w:top w:val="nil"/>
              <w:left w:val="nil"/>
              <w:bottom w:val="nil"/>
              <w:right w:val="nil"/>
            </w:tcBorders>
            <w:noWrap w:val="0"/>
            <w:vAlign w:val="center"/>
          </w:tcPr>
          <w:p w14:paraId="2727CE03">
            <w:pPr>
              <w:rPr>
                <w:rFonts w:hint="eastAsia" w:ascii="宋体" w:hAnsi="宋体" w:eastAsia="宋体" w:cs="宋体"/>
                <w:i w:val="0"/>
                <w:color w:val="000000"/>
                <w:sz w:val="24"/>
                <w:szCs w:val="24"/>
                <w:u w:val="none"/>
              </w:rPr>
            </w:pPr>
          </w:p>
        </w:tc>
        <w:tc>
          <w:tcPr>
            <w:tcW w:w="909" w:type="dxa"/>
            <w:tcBorders>
              <w:top w:val="nil"/>
              <w:left w:val="nil"/>
              <w:bottom w:val="nil"/>
              <w:right w:val="nil"/>
            </w:tcBorders>
            <w:noWrap w:val="0"/>
            <w:vAlign w:val="center"/>
          </w:tcPr>
          <w:p w14:paraId="36BC160F">
            <w:pPr>
              <w:rPr>
                <w:rFonts w:hint="eastAsia" w:ascii="宋体" w:hAnsi="宋体" w:eastAsia="宋体" w:cs="宋体"/>
                <w:i w:val="0"/>
                <w:color w:val="000000"/>
                <w:sz w:val="24"/>
                <w:szCs w:val="24"/>
                <w:u w:val="none"/>
              </w:rPr>
            </w:pPr>
          </w:p>
        </w:tc>
        <w:tc>
          <w:tcPr>
            <w:tcW w:w="2956" w:type="dxa"/>
            <w:tcBorders>
              <w:top w:val="nil"/>
              <w:left w:val="nil"/>
              <w:bottom w:val="nil"/>
              <w:right w:val="nil"/>
            </w:tcBorders>
            <w:noWrap w:val="0"/>
            <w:vAlign w:val="center"/>
          </w:tcPr>
          <w:p w14:paraId="1C627CB2">
            <w:pPr>
              <w:rPr>
                <w:rFonts w:hint="eastAsia" w:ascii="宋体" w:hAnsi="宋体" w:eastAsia="宋体" w:cs="宋体"/>
                <w:i w:val="0"/>
                <w:color w:val="000000"/>
                <w:sz w:val="24"/>
                <w:szCs w:val="24"/>
                <w:u w:val="none"/>
              </w:rPr>
            </w:pPr>
          </w:p>
        </w:tc>
      </w:tr>
      <w:tr w14:paraId="7347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exact"/>
        </w:trPr>
        <w:tc>
          <w:tcPr>
            <w:tcW w:w="12816" w:type="dxa"/>
            <w:gridSpan w:val="10"/>
            <w:tcBorders>
              <w:top w:val="nil"/>
              <w:left w:val="nil"/>
              <w:bottom w:val="nil"/>
              <w:right w:val="nil"/>
            </w:tcBorders>
            <w:noWrap w:val="0"/>
            <w:vAlign w:val="center"/>
          </w:tcPr>
          <w:p w14:paraId="1B1CBD05">
            <w:pPr>
              <w:keepNext w:val="0"/>
              <w:keepLines w:val="0"/>
              <w:widowControl/>
              <w:suppressLineNumbers w:val="0"/>
              <w:jc w:val="center"/>
              <w:textAlignment w:val="center"/>
              <w:rPr>
                <w:rFonts w:hint="default" w:ascii="Times New Roman" w:hAnsi="Times New Roman" w:eastAsia="方正小标宋_GBK" w:cs="Times New Roman"/>
                <w:i w:val="0"/>
                <w:color w:val="000000"/>
                <w:kern w:val="0"/>
                <w:sz w:val="44"/>
                <w:szCs w:val="44"/>
                <w:u w:val="none"/>
                <w:lang w:val="en-US" w:eastAsia="zh-CN" w:bidi="ar"/>
              </w:rPr>
            </w:pPr>
            <w:r>
              <w:rPr>
                <w:rFonts w:hint="default" w:ascii="Times New Roman" w:hAnsi="Times New Roman" w:eastAsia="方正小标宋_GBK" w:cs="Times New Roman"/>
                <w:i w:val="0"/>
                <w:color w:val="000000"/>
                <w:kern w:val="0"/>
                <w:sz w:val="44"/>
                <w:szCs w:val="44"/>
                <w:u w:val="none"/>
                <w:lang w:val="en-US" w:eastAsia="zh-CN" w:bidi="ar"/>
              </w:rPr>
              <w:t>广西2023年度中央集中彩票公益金支持体育事业专项资金转移</w:t>
            </w:r>
          </w:p>
          <w:p w14:paraId="063B1C4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bookmarkStart w:id="0" w:name="_GoBack"/>
            <w:bookmarkEnd w:id="0"/>
            <w:r>
              <w:rPr>
                <w:rFonts w:hint="default" w:ascii="Times New Roman" w:hAnsi="Times New Roman" w:eastAsia="方正小标宋_GBK" w:cs="Times New Roman"/>
                <w:i w:val="0"/>
                <w:color w:val="000000"/>
                <w:kern w:val="0"/>
                <w:sz w:val="44"/>
                <w:szCs w:val="44"/>
                <w:u w:val="none"/>
                <w:lang w:val="en-US" w:eastAsia="zh-CN" w:bidi="ar"/>
              </w:rPr>
              <w:t>支付区域绩效自评表</w:t>
            </w:r>
          </w:p>
        </w:tc>
      </w:tr>
      <w:tr w14:paraId="2958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2816" w:type="dxa"/>
            <w:gridSpan w:val="10"/>
            <w:tcBorders>
              <w:top w:val="nil"/>
              <w:left w:val="nil"/>
              <w:bottom w:val="single" w:color="000000" w:sz="4" w:space="0"/>
              <w:right w:val="nil"/>
            </w:tcBorders>
            <w:noWrap w:val="0"/>
            <w:vAlign w:val="top"/>
          </w:tcPr>
          <w:p w14:paraId="24B1BDAE">
            <w:pPr>
              <w:keepNext w:val="0"/>
              <w:keepLines w:val="0"/>
              <w:widowControl/>
              <w:suppressLineNumbers w:val="0"/>
              <w:jc w:val="center"/>
              <w:textAlignment w:val="top"/>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（202</w:t>
            </w:r>
            <w:r>
              <w:rPr>
                <w:rFonts w:hint="eastAsia" w:cs="Times New Roman"/>
                <w:i w:val="0"/>
                <w:color w:val="000000"/>
                <w:kern w:val="0"/>
                <w:sz w:val="22"/>
                <w:szCs w:val="22"/>
                <w:u w:val="none"/>
                <w:lang w:val="en-US" w:eastAsia="zh-CN" w:bidi="ar"/>
              </w:rPr>
              <w:t>3</w:t>
            </w:r>
            <w:r>
              <w:rPr>
                <w:rFonts w:hint="default" w:ascii="Times New Roman" w:hAnsi="Times New Roman" w:eastAsia="仿宋_GB2312" w:cs="Times New Roman"/>
                <w:i w:val="0"/>
                <w:color w:val="000000"/>
                <w:kern w:val="0"/>
                <w:sz w:val="22"/>
                <w:szCs w:val="22"/>
                <w:u w:val="none"/>
                <w:lang w:val="en-US" w:eastAsia="zh-CN" w:bidi="ar"/>
              </w:rPr>
              <w:t>年度）</w:t>
            </w:r>
          </w:p>
        </w:tc>
      </w:tr>
      <w:tr w14:paraId="3BF5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5F66F8E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转移支付（项目）名称</w:t>
            </w:r>
          </w:p>
        </w:tc>
        <w:tc>
          <w:tcPr>
            <w:tcW w:w="10222" w:type="dxa"/>
            <w:gridSpan w:val="6"/>
            <w:tcBorders>
              <w:top w:val="single" w:color="000000" w:sz="4" w:space="0"/>
              <w:left w:val="single" w:color="000000" w:sz="4" w:space="0"/>
              <w:bottom w:val="single" w:color="000000" w:sz="4" w:space="0"/>
              <w:right w:val="single" w:color="000000" w:sz="4" w:space="0"/>
            </w:tcBorders>
            <w:noWrap w:val="0"/>
            <w:vAlign w:val="center"/>
          </w:tcPr>
          <w:p w14:paraId="2DAA2C2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中央集中彩票公益金支持体育事业专项资金</w:t>
            </w:r>
          </w:p>
        </w:tc>
      </w:tr>
      <w:tr w14:paraId="1686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0412E5A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中央主管部门</w:t>
            </w:r>
          </w:p>
        </w:tc>
        <w:tc>
          <w:tcPr>
            <w:tcW w:w="3910" w:type="dxa"/>
            <w:gridSpan w:val="2"/>
            <w:tcBorders>
              <w:top w:val="single" w:color="000000" w:sz="4" w:space="0"/>
              <w:left w:val="single" w:color="000000" w:sz="4" w:space="0"/>
              <w:bottom w:val="single" w:color="000000" w:sz="4" w:space="0"/>
              <w:right w:val="single" w:color="000000" w:sz="4" w:space="0"/>
            </w:tcBorders>
            <w:noWrap w:val="0"/>
            <w:vAlign w:val="center"/>
          </w:tcPr>
          <w:p w14:paraId="7E491C8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val="0"/>
                <w:bCs/>
                <w:i w:val="0"/>
                <w:color w:val="000000"/>
                <w:kern w:val="0"/>
                <w:sz w:val="20"/>
                <w:szCs w:val="20"/>
                <w:u w:val="none"/>
                <w:lang w:val="en-US" w:eastAsia="zh-CN" w:bidi="ar"/>
              </w:rPr>
              <w:t>国家体育总局</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CCCFA7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地方财政部门</w:t>
            </w:r>
          </w:p>
        </w:tc>
        <w:tc>
          <w:tcPr>
            <w:tcW w:w="4730" w:type="dxa"/>
            <w:gridSpan w:val="3"/>
            <w:tcBorders>
              <w:top w:val="single" w:color="000000" w:sz="4" w:space="0"/>
              <w:left w:val="nil"/>
              <w:bottom w:val="single" w:color="000000" w:sz="4" w:space="0"/>
              <w:right w:val="single" w:color="000000" w:sz="4" w:space="0"/>
            </w:tcBorders>
            <w:noWrap w:val="0"/>
            <w:vAlign w:val="center"/>
          </w:tcPr>
          <w:p w14:paraId="3812C0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广西</w:t>
            </w:r>
            <w:r>
              <w:rPr>
                <w:rFonts w:hint="eastAsia" w:eastAsia="宋体" w:cs="Times New Roman"/>
                <w:i w:val="0"/>
                <w:color w:val="000000"/>
                <w:kern w:val="0"/>
                <w:sz w:val="20"/>
                <w:szCs w:val="20"/>
                <w:u w:val="none"/>
                <w:lang w:val="en-US" w:eastAsia="zh-CN" w:bidi="ar"/>
              </w:rPr>
              <w:t>壮族</w:t>
            </w:r>
            <w:r>
              <w:rPr>
                <w:rFonts w:hint="default" w:ascii="Times New Roman" w:hAnsi="Times New Roman" w:eastAsia="宋体" w:cs="Times New Roman"/>
                <w:i w:val="0"/>
                <w:color w:val="000000"/>
                <w:kern w:val="0"/>
                <w:sz w:val="20"/>
                <w:szCs w:val="20"/>
                <w:u w:val="none"/>
                <w:lang w:val="en-US" w:eastAsia="zh-CN" w:bidi="ar"/>
              </w:rPr>
              <w:t>自治区财政厅</w:t>
            </w:r>
          </w:p>
        </w:tc>
      </w:tr>
      <w:tr w14:paraId="35C8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51B6460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地方主管部门</w:t>
            </w:r>
          </w:p>
        </w:tc>
        <w:tc>
          <w:tcPr>
            <w:tcW w:w="3910" w:type="dxa"/>
            <w:gridSpan w:val="2"/>
            <w:tcBorders>
              <w:top w:val="single" w:color="000000" w:sz="4" w:space="0"/>
              <w:left w:val="nil"/>
              <w:bottom w:val="single" w:color="000000" w:sz="4" w:space="0"/>
              <w:right w:val="nil"/>
            </w:tcBorders>
            <w:noWrap w:val="0"/>
            <w:vAlign w:val="center"/>
          </w:tcPr>
          <w:p w14:paraId="7E31F4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广西</w:t>
            </w:r>
            <w:r>
              <w:rPr>
                <w:rFonts w:hint="eastAsia" w:eastAsia="宋体" w:cs="Times New Roman"/>
                <w:i w:val="0"/>
                <w:color w:val="000000"/>
                <w:kern w:val="0"/>
                <w:sz w:val="20"/>
                <w:szCs w:val="20"/>
                <w:u w:val="none"/>
                <w:lang w:val="en-US" w:eastAsia="zh-CN" w:bidi="ar"/>
              </w:rPr>
              <w:t>壮族</w:t>
            </w:r>
            <w:r>
              <w:rPr>
                <w:rFonts w:hint="default" w:ascii="Times New Roman" w:hAnsi="Times New Roman" w:eastAsia="宋体" w:cs="Times New Roman"/>
                <w:i w:val="0"/>
                <w:color w:val="000000"/>
                <w:kern w:val="0"/>
                <w:sz w:val="20"/>
                <w:szCs w:val="20"/>
                <w:u w:val="none"/>
                <w:lang w:val="en-US" w:eastAsia="zh-CN" w:bidi="ar"/>
              </w:rPr>
              <w:t>自治区体育局</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D284F4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资金使用单位</w:t>
            </w:r>
          </w:p>
        </w:tc>
        <w:tc>
          <w:tcPr>
            <w:tcW w:w="4730" w:type="dxa"/>
            <w:gridSpan w:val="3"/>
            <w:tcBorders>
              <w:top w:val="single" w:color="000000" w:sz="4" w:space="0"/>
              <w:left w:val="single" w:color="000000" w:sz="4" w:space="0"/>
              <w:bottom w:val="single" w:color="000000" w:sz="4" w:space="0"/>
              <w:right w:val="single" w:color="000000" w:sz="4" w:space="0"/>
            </w:tcBorders>
            <w:noWrap w:val="0"/>
            <w:vAlign w:val="center"/>
          </w:tcPr>
          <w:p w14:paraId="638147A1">
            <w:pPr>
              <w:jc w:val="center"/>
              <w:rPr>
                <w:rFonts w:hint="default" w:ascii="Times New Roman" w:hAnsi="Times New Roman" w:eastAsia="宋体" w:cs="Times New Roman"/>
                <w:i w:val="0"/>
                <w:color w:val="000000"/>
                <w:sz w:val="20"/>
                <w:szCs w:val="20"/>
                <w:u w:val="none"/>
              </w:rPr>
            </w:pPr>
          </w:p>
        </w:tc>
      </w:tr>
      <w:tr w14:paraId="3168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794D262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资金投入情况</w:t>
            </w:r>
            <w:r>
              <w:rPr>
                <w:rFonts w:hint="default" w:ascii="Times New Roman" w:hAnsi="Times New Roman" w:eastAsia="宋体" w:cs="Times New Roman"/>
                <w:b/>
                <w:i w:val="0"/>
                <w:color w:val="000000"/>
                <w:kern w:val="0"/>
                <w:sz w:val="20"/>
                <w:szCs w:val="20"/>
                <w:u w:val="none"/>
                <w:lang w:val="en-US" w:eastAsia="zh-CN" w:bidi="ar"/>
              </w:rPr>
              <w:br w:type="textWrapping"/>
            </w:r>
            <w:r>
              <w:rPr>
                <w:rFonts w:hint="default" w:ascii="Times New Roman" w:hAnsi="Times New Roman" w:eastAsia="宋体" w:cs="Times New Roman"/>
                <w:b/>
                <w:i w:val="0"/>
                <w:color w:val="000000"/>
                <w:kern w:val="0"/>
                <w:sz w:val="20"/>
                <w:szCs w:val="20"/>
                <w:u w:val="none"/>
                <w:lang w:val="en-US" w:eastAsia="zh-CN" w:bidi="ar"/>
              </w:rPr>
              <w:t>（万元）</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25DA53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全年预算数（A）</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089F394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全年执行数（B）</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399464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预算执行率（B/A×100%)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9A5BA9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分值</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3A832C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得分</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27559B8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未完成原因和改进措施</w:t>
            </w:r>
          </w:p>
        </w:tc>
      </w:tr>
      <w:tr w14:paraId="06EB8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3709554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年度资金总额</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674C0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6970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396A4404">
            <w:pPr>
              <w:keepNext w:val="0"/>
              <w:keepLines w:val="0"/>
              <w:widowControl/>
              <w:suppressLineNumbers w:val="0"/>
              <w:jc w:val="center"/>
              <w:textAlignment w:val="center"/>
              <w:rPr>
                <w:rFonts w:hint="default"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1431.77</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686ABBE">
            <w:pPr>
              <w:keepNext w:val="0"/>
              <w:keepLines w:val="0"/>
              <w:widowControl/>
              <w:suppressLineNumbers w:val="0"/>
              <w:jc w:val="center"/>
              <w:textAlignment w:val="center"/>
              <w:rPr>
                <w:rFonts w:hint="default" w:eastAsia="宋体" w:cs="Times New Roman"/>
                <w:i w:val="0"/>
                <w:color w:val="000000"/>
                <w:sz w:val="20"/>
                <w:szCs w:val="20"/>
                <w:u w:val="none"/>
                <w:lang w:val="en-US" w:eastAsia="zh-CN"/>
              </w:rPr>
            </w:pPr>
            <w:r>
              <w:rPr>
                <w:rFonts w:hint="eastAsia" w:eastAsia="宋体" w:cs="Times New Roman"/>
                <w:i w:val="0"/>
                <w:color w:val="000000"/>
                <w:sz w:val="20"/>
                <w:szCs w:val="20"/>
                <w:highlight w:val="none"/>
                <w:u w:val="none"/>
                <w:lang w:val="en-US" w:eastAsia="zh-CN"/>
              </w:rPr>
              <w:t>20.54</w:t>
            </w:r>
            <w:r>
              <w:rPr>
                <w:rFonts w:hint="default" w:eastAsia="宋体" w:cs="Times New Roman"/>
                <w:i w:val="0"/>
                <w:color w:val="000000"/>
                <w:sz w:val="20"/>
                <w:szCs w:val="20"/>
                <w:highlight w:val="none"/>
                <w:u w:val="none"/>
                <w:lang w:val="en-US" w:eastAsia="zh-CN"/>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4FCB24A">
            <w:pPr>
              <w:keepNext w:val="0"/>
              <w:keepLines w:val="0"/>
              <w:widowControl/>
              <w:suppressLineNumbers w:val="0"/>
              <w:jc w:val="center"/>
              <w:textAlignment w:val="center"/>
              <w:rPr>
                <w:rFonts w:hint="default" w:eastAsia="宋体" w:cs="Times New Roman"/>
                <w:i w:val="0"/>
                <w:color w:val="000000"/>
                <w:sz w:val="20"/>
                <w:szCs w:val="20"/>
                <w:u w:val="none"/>
                <w:lang w:val="en-US" w:eastAsia="zh-CN"/>
              </w:rPr>
            </w:pPr>
            <w:r>
              <w:rPr>
                <w:rFonts w:hint="default" w:eastAsia="宋体" w:cs="Times New Roman"/>
                <w:i w:val="0"/>
                <w:color w:val="000000"/>
                <w:sz w:val="20"/>
                <w:szCs w:val="20"/>
                <w:u w:val="none"/>
                <w:lang w:val="en-US" w:eastAsia="zh-CN"/>
              </w:rPr>
              <w:t>10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F2F8E3F">
            <w:pPr>
              <w:keepNext w:val="0"/>
              <w:keepLines w:val="0"/>
              <w:widowControl/>
              <w:suppressLineNumbers w:val="0"/>
              <w:jc w:val="center"/>
              <w:textAlignment w:val="center"/>
              <w:rPr>
                <w:rFonts w:hint="default"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2.05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19E28EBA">
            <w:pPr>
              <w:keepNext w:val="0"/>
              <w:keepLines w:val="0"/>
              <w:widowControl/>
              <w:suppressLineNumbers w:val="0"/>
              <w:jc w:val="left"/>
              <w:textAlignment w:val="center"/>
              <w:rPr>
                <w:rFonts w:hint="default" w:ascii="Times New Roman" w:hAnsi="Times New Roman" w:eastAsia="宋体" w:cs="Times New Roman"/>
                <w:i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未完成原因：</w:t>
            </w:r>
            <w:r>
              <w:rPr>
                <w:rFonts w:hint="default" w:ascii="Times New Roman" w:hAnsi="Times New Roman" w:eastAsia="宋体" w:cs="Times New Roman"/>
                <w:i w:val="0"/>
                <w:color w:val="auto"/>
                <w:kern w:val="0"/>
                <w:sz w:val="16"/>
                <w:szCs w:val="16"/>
                <w:highlight w:val="none"/>
                <w:u w:val="none"/>
                <w:lang w:val="en-US" w:eastAsia="zh-CN" w:bidi="ar"/>
              </w:rPr>
              <w:t>因2023年是第一届全国学生（青年）运动会举办年，重点是办好学青会，且资金方案存在调整，调整后</w:t>
            </w:r>
            <w:r>
              <w:rPr>
                <w:rFonts w:hint="eastAsia" w:eastAsia="宋体" w:cs="Times New Roman"/>
                <w:i w:val="0"/>
                <w:color w:val="auto"/>
                <w:kern w:val="0"/>
                <w:sz w:val="16"/>
                <w:szCs w:val="16"/>
                <w:highlight w:val="none"/>
                <w:u w:val="none"/>
                <w:lang w:val="en-US" w:eastAsia="zh-CN" w:bidi="ar"/>
              </w:rPr>
              <w:t>分配</w:t>
            </w:r>
            <w:r>
              <w:rPr>
                <w:rFonts w:hint="default" w:ascii="Times New Roman" w:hAnsi="Times New Roman" w:eastAsia="宋体" w:cs="Times New Roman"/>
                <w:i w:val="0"/>
                <w:color w:val="auto"/>
                <w:kern w:val="0"/>
                <w:sz w:val="16"/>
                <w:szCs w:val="16"/>
                <w:highlight w:val="none"/>
                <w:u w:val="none"/>
                <w:lang w:val="en-US" w:eastAsia="zh-CN" w:bidi="ar"/>
              </w:rPr>
              <w:t>资金较晚，部分活动未能开展（例如国家体育锻炼标准达标测试活动、全民健身志愿服务活动</w:t>
            </w:r>
            <w:r>
              <w:rPr>
                <w:rFonts w:hint="eastAsia" w:eastAsia="宋体" w:cs="Times New Roman"/>
                <w:i w:val="0"/>
                <w:color w:val="auto"/>
                <w:kern w:val="0"/>
                <w:sz w:val="16"/>
                <w:szCs w:val="16"/>
                <w:highlight w:val="none"/>
                <w:u w:val="none"/>
                <w:lang w:val="en-US" w:eastAsia="zh-CN" w:bidi="ar"/>
              </w:rPr>
              <w:t>等</w:t>
            </w:r>
            <w:r>
              <w:rPr>
                <w:rFonts w:hint="default" w:ascii="Times New Roman" w:hAnsi="Times New Roman" w:eastAsia="宋体" w:cs="Times New Roman"/>
                <w:i w:val="0"/>
                <w:color w:val="auto"/>
                <w:kern w:val="0"/>
                <w:sz w:val="16"/>
                <w:szCs w:val="16"/>
                <w:highlight w:val="none"/>
                <w:u w:val="none"/>
                <w:lang w:val="en-US" w:eastAsia="zh-CN" w:bidi="ar"/>
              </w:rPr>
              <w:t>），部分场地设施建设尚未全部完成竣工验收工作</w:t>
            </w:r>
            <w:r>
              <w:rPr>
                <w:rFonts w:hint="eastAsia" w:eastAsia="宋体" w:cs="Times New Roman"/>
                <w:i w:val="0"/>
                <w:color w:val="auto"/>
                <w:kern w:val="0"/>
                <w:sz w:val="16"/>
                <w:szCs w:val="16"/>
                <w:highlight w:val="none"/>
                <w:u w:val="none"/>
                <w:lang w:val="en-US" w:eastAsia="zh-CN" w:bidi="ar"/>
              </w:rPr>
              <w:t>。</w:t>
            </w:r>
          </w:p>
          <w:p w14:paraId="593F99F9">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改进措施：2024年</w:t>
            </w:r>
            <w:r>
              <w:rPr>
                <w:rFonts w:hint="eastAsia" w:eastAsia="宋体" w:cs="Times New Roman"/>
                <w:i w:val="0"/>
                <w:color w:val="auto"/>
                <w:kern w:val="0"/>
                <w:sz w:val="16"/>
                <w:szCs w:val="16"/>
                <w:u w:val="none"/>
                <w:lang w:val="en-US" w:eastAsia="zh-CN" w:bidi="ar"/>
              </w:rPr>
              <w:t>加快推进各项工作。</w:t>
            </w:r>
          </w:p>
        </w:tc>
      </w:tr>
      <w:tr w14:paraId="40A0D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7ADF193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6"/>
                <w:rFonts w:hint="default" w:ascii="Times New Roman" w:hAnsi="Times New Roman" w:cs="Times New Roman"/>
                <w:lang w:val="en-US" w:eastAsia="zh-CN" w:bidi="ar"/>
              </w:rPr>
              <w:t xml:space="preserve"> </w:t>
            </w:r>
            <w:r>
              <w:rPr>
                <w:rStyle w:val="7"/>
                <w:rFonts w:hint="default" w:ascii="Times New Roman" w:hAnsi="Times New Roman" w:cs="Times New Roman"/>
                <w:lang w:val="en-US" w:eastAsia="zh-CN" w:bidi="ar"/>
              </w:rPr>
              <w:t>其中：中央财政资金</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B1C55F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sz w:val="20"/>
                <w:szCs w:val="20"/>
                <w:u w:val="none"/>
                <w:lang w:val="en-US" w:eastAsia="zh-CN"/>
              </w:rPr>
              <w:t>6970</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17C592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
              </w:rPr>
            </w:pPr>
            <w:r>
              <w:rPr>
                <w:rFonts w:hint="eastAsia" w:eastAsia="宋体" w:cs="Times New Roman"/>
                <w:i w:val="0"/>
                <w:color w:val="000000"/>
                <w:sz w:val="20"/>
                <w:szCs w:val="20"/>
                <w:u w:val="none"/>
                <w:lang w:val="en-US" w:eastAsia="zh-CN"/>
              </w:rPr>
              <w:t>1431.77</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6897A11">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eastAsia="宋体" w:cs="Times New Roman"/>
                <w:i w:val="0"/>
                <w:color w:val="000000"/>
                <w:sz w:val="20"/>
                <w:szCs w:val="20"/>
                <w:highlight w:val="none"/>
                <w:u w:val="none"/>
                <w:lang w:val="en-US" w:eastAsia="zh-CN"/>
              </w:rPr>
              <w:t>20.54</w:t>
            </w:r>
            <w:r>
              <w:rPr>
                <w:rFonts w:hint="default" w:eastAsia="宋体" w:cs="Times New Roman"/>
                <w:i w:val="0"/>
                <w:color w:val="000000"/>
                <w:sz w:val="20"/>
                <w:szCs w:val="20"/>
                <w:highlight w:val="none"/>
                <w:u w:val="none"/>
                <w:lang w:val="en-US" w:eastAsia="zh-CN"/>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392EACC">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DECA11B">
            <w:pPr>
              <w:jc w:val="center"/>
              <w:rPr>
                <w:rFonts w:hint="default" w:ascii="Times New Roman" w:hAnsi="Times New Roman" w:eastAsia="宋体" w:cs="Times New Roman"/>
                <w:i w:val="0"/>
                <w:color w:val="auto"/>
                <w:sz w:val="20"/>
                <w:szCs w:val="20"/>
                <w:u w:val="none"/>
              </w:rPr>
            </w:pP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38ABF2B3">
            <w:pPr>
              <w:jc w:val="left"/>
              <w:rPr>
                <w:rFonts w:hint="default" w:ascii="Times New Roman" w:hAnsi="Times New Roman" w:eastAsia="宋体" w:cs="Times New Roman"/>
                <w:i w:val="0"/>
                <w:color w:val="auto"/>
                <w:sz w:val="20"/>
                <w:szCs w:val="20"/>
                <w:u w:val="none"/>
              </w:rPr>
            </w:pPr>
          </w:p>
        </w:tc>
      </w:tr>
      <w:tr w14:paraId="425B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50F7854E">
            <w:pPr>
              <w:keepNext w:val="0"/>
              <w:keepLines w:val="0"/>
              <w:widowControl/>
              <w:suppressLineNumbers w:val="0"/>
              <w:jc w:val="both"/>
              <w:textAlignment w:val="center"/>
              <w:rPr>
                <w:rFonts w:hint="default" w:ascii="Times New Roman" w:hAnsi="Times New Roman" w:eastAsia="宋体" w:cs="Times New Roman"/>
                <w:b/>
                <w:i w:val="0"/>
                <w:color w:val="000000"/>
                <w:sz w:val="20"/>
                <w:szCs w:val="20"/>
                <w:u w:val="none"/>
              </w:rPr>
            </w:pPr>
            <w:r>
              <w:rPr>
                <w:rStyle w:val="6"/>
                <w:rFonts w:hint="default" w:ascii="Times New Roman" w:hAnsi="Times New Roman" w:cs="Times New Roman"/>
                <w:lang w:val="en-US" w:eastAsia="zh-CN" w:bidi="ar"/>
              </w:rPr>
              <w:t xml:space="preserve"> </w:t>
            </w:r>
            <w:r>
              <w:rPr>
                <w:rStyle w:val="8"/>
                <w:rFonts w:hint="default" w:ascii="Times New Roman" w:hAnsi="Times New Roman" w:cs="Times New Roman"/>
                <w:lang w:val="en-US" w:eastAsia="zh-CN" w:bidi="ar"/>
              </w:rPr>
              <w:t xml:space="preserve">      地方资金</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0E9326B">
            <w:pPr>
              <w:jc w:val="center"/>
              <w:rPr>
                <w:rFonts w:hint="default" w:ascii="Times New Roman" w:hAnsi="Times New Roman" w:eastAsia="宋体" w:cs="Times New Roman"/>
                <w:i w:val="0"/>
                <w:color w:val="000000"/>
                <w:sz w:val="20"/>
                <w:szCs w:val="20"/>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46F25665">
            <w:pPr>
              <w:jc w:val="center"/>
              <w:rPr>
                <w:rFonts w:hint="default" w:ascii="Times New Roman" w:hAnsi="Times New Roman" w:eastAsia="宋体" w:cs="Times New Roman"/>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5FAE1A4">
            <w:pPr>
              <w:jc w:val="center"/>
              <w:rPr>
                <w:rFonts w:hint="default" w:ascii="Times New Roman" w:hAnsi="Times New Roman" w:eastAsia="宋体" w:cs="Times New Roman"/>
                <w:i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829D6F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58AA6F6">
            <w:pPr>
              <w:jc w:val="center"/>
              <w:rPr>
                <w:rFonts w:hint="default" w:ascii="Times New Roman" w:hAnsi="Times New Roman" w:eastAsia="宋体" w:cs="Times New Roman"/>
                <w:i w:val="0"/>
                <w:color w:val="000000"/>
                <w:sz w:val="20"/>
                <w:szCs w:val="20"/>
                <w:u w:val="none"/>
              </w:rPr>
            </w:pP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AB0AEDC">
            <w:pPr>
              <w:jc w:val="left"/>
              <w:rPr>
                <w:rFonts w:hint="default" w:ascii="Times New Roman" w:hAnsi="Times New Roman" w:eastAsia="宋体" w:cs="Times New Roman"/>
                <w:i w:val="0"/>
                <w:color w:val="000000"/>
                <w:sz w:val="20"/>
                <w:szCs w:val="20"/>
                <w:u w:val="none"/>
              </w:rPr>
            </w:pPr>
          </w:p>
        </w:tc>
      </w:tr>
      <w:tr w14:paraId="4CBC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594" w:type="dxa"/>
            <w:gridSpan w:val="4"/>
            <w:tcBorders>
              <w:top w:val="single" w:color="000000" w:sz="4" w:space="0"/>
              <w:left w:val="single" w:color="000000" w:sz="4" w:space="0"/>
              <w:bottom w:val="single" w:color="000000" w:sz="4" w:space="0"/>
              <w:right w:val="single" w:color="000000" w:sz="4" w:space="0"/>
            </w:tcBorders>
            <w:noWrap w:val="0"/>
            <w:vAlign w:val="center"/>
          </w:tcPr>
          <w:p w14:paraId="45137756">
            <w:pPr>
              <w:keepNext w:val="0"/>
              <w:keepLines w:val="0"/>
              <w:widowControl/>
              <w:suppressLineNumbers w:val="0"/>
              <w:jc w:val="both"/>
              <w:textAlignment w:val="center"/>
              <w:rPr>
                <w:rFonts w:hint="default" w:ascii="Times New Roman" w:hAnsi="Times New Roman" w:eastAsia="宋体" w:cs="Times New Roman"/>
                <w:b/>
                <w:i w:val="0"/>
                <w:color w:val="000000"/>
                <w:sz w:val="18"/>
                <w:szCs w:val="18"/>
                <w:u w:val="none"/>
              </w:rPr>
            </w:pPr>
            <w:r>
              <w:rPr>
                <w:rStyle w:val="9"/>
                <w:rFonts w:hint="default" w:ascii="Times New Roman" w:hAnsi="Times New Roman" w:cs="Times New Roman"/>
                <w:lang w:val="en-US" w:eastAsia="zh-CN" w:bidi="ar"/>
              </w:rPr>
              <w:t xml:space="preserve">      </w:t>
            </w:r>
            <w:r>
              <w:rPr>
                <w:rStyle w:val="7"/>
                <w:rFonts w:hint="default" w:ascii="Times New Roman" w:hAnsi="Times New Roman" w:cs="Times New Roman"/>
                <w:lang w:val="en-US" w:eastAsia="zh-CN" w:bidi="ar"/>
              </w:rPr>
              <w:t xml:space="preserve">  其他资金</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E1E9080">
            <w:pPr>
              <w:jc w:val="center"/>
              <w:rPr>
                <w:rFonts w:hint="default" w:ascii="Times New Roman" w:hAnsi="Times New Roman" w:eastAsia="宋体" w:cs="Times New Roman"/>
                <w:i w:val="0"/>
                <w:color w:val="000000"/>
                <w:sz w:val="20"/>
                <w:szCs w:val="20"/>
                <w:u w:val="none"/>
              </w:rPr>
            </w:pP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377E1692">
            <w:pPr>
              <w:jc w:val="center"/>
              <w:rPr>
                <w:rFonts w:hint="default" w:ascii="Times New Roman" w:hAnsi="Times New Roman" w:eastAsia="宋体" w:cs="Times New Roman"/>
                <w:i w:val="0"/>
                <w:color w:val="000000"/>
                <w:sz w:val="20"/>
                <w:szCs w:val="20"/>
                <w:u w:val="none"/>
              </w:rPr>
            </w:pP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9FE26BB">
            <w:pPr>
              <w:jc w:val="center"/>
              <w:rPr>
                <w:rFonts w:hint="default" w:ascii="Times New Roman" w:hAnsi="Times New Roman" w:eastAsia="宋体" w:cs="Times New Roman"/>
                <w:i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86CC6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8065113">
            <w:pPr>
              <w:jc w:val="center"/>
              <w:rPr>
                <w:rFonts w:hint="default" w:ascii="Times New Roman" w:hAnsi="Times New Roman" w:eastAsia="宋体" w:cs="Times New Roman"/>
                <w:i w:val="0"/>
                <w:color w:val="000000"/>
                <w:sz w:val="20"/>
                <w:szCs w:val="20"/>
                <w:u w:val="none"/>
              </w:rPr>
            </w:pP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45545701">
            <w:pPr>
              <w:jc w:val="left"/>
              <w:rPr>
                <w:rFonts w:hint="default" w:ascii="Times New Roman" w:hAnsi="Times New Roman" w:eastAsia="宋体" w:cs="Times New Roman"/>
                <w:i w:val="0"/>
                <w:color w:val="000000"/>
                <w:sz w:val="20"/>
                <w:szCs w:val="20"/>
                <w:u w:val="none"/>
              </w:rPr>
            </w:pPr>
          </w:p>
        </w:tc>
      </w:tr>
      <w:tr w14:paraId="0A39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94"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10FEFAD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资金管理情况</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28AF75E">
            <w:pPr>
              <w:rPr>
                <w:rFonts w:hint="default" w:ascii="Times New Roman" w:hAnsi="Times New Roman" w:eastAsia="宋体" w:cs="Times New Roman"/>
                <w:i w:val="0"/>
                <w:color w:val="000000"/>
                <w:sz w:val="20"/>
                <w:szCs w:val="20"/>
                <w:u w:val="none"/>
              </w:rPr>
            </w:pP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69D3F0D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情况说明</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323AF1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分值</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D3A42A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得分</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F676FE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存在问题和改进措施</w:t>
            </w:r>
          </w:p>
        </w:tc>
      </w:tr>
      <w:tr w14:paraId="485C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1A39003">
            <w:pPr>
              <w:jc w:val="center"/>
              <w:rPr>
                <w:rFonts w:hint="default" w:ascii="Times New Roman" w:hAnsi="Times New Roman" w:eastAsia="宋体" w:cs="Times New Roman"/>
                <w:b/>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000E152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分配科学性</w:t>
            </w: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20ACF1D3">
            <w:pPr>
              <w:jc w:val="left"/>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eastAsia="zh-CN"/>
              </w:rPr>
              <w:t>按照根据《中央集中彩票公益金支持体育事业专项资金管理办法》等文件精神，以及国家体育总局年度工作计划下达工作任务和分配资金</w:t>
            </w:r>
            <w:r>
              <w:rPr>
                <w:rFonts w:hint="eastAsia" w:eastAsia="宋体" w:cs="Times New Roman"/>
                <w:i w:val="0"/>
                <w:color w:val="000000"/>
                <w:sz w:val="20"/>
                <w:szCs w:val="20"/>
                <w:u w:val="none"/>
                <w:lang w:val="en-US" w:eastAsia="zh-CN"/>
              </w:rPr>
              <w:t>。</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16520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760D8F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18373ED1">
            <w:pPr>
              <w:jc w:val="center"/>
              <w:rPr>
                <w:rFonts w:hint="default" w:ascii="Times New Roman" w:hAnsi="Times New Roman" w:eastAsia="宋体" w:cs="Times New Roman"/>
                <w:i w:val="0"/>
                <w:color w:val="000000"/>
                <w:sz w:val="20"/>
                <w:szCs w:val="20"/>
                <w:u w:val="none"/>
              </w:rPr>
            </w:pPr>
          </w:p>
        </w:tc>
      </w:tr>
      <w:tr w14:paraId="4C1EB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25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725B8084">
            <w:pPr>
              <w:jc w:val="center"/>
              <w:rPr>
                <w:rFonts w:hint="default" w:ascii="Times New Roman" w:hAnsi="Times New Roman" w:eastAsia="宋体" w:cs="Times New Roman"/>
                <w:b/>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EFFA74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下达及时性</w:t>
            </w: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5F3CA3D8">
            <w:pPr>
              <w:jc w:val="left"/>
              <w:rPr>
                <w:rFonts w:hint="eastAsia" w:ascii="Times New Roman" w:hAnsi="Times New Roman" w:eastAsia="宋体" w:cs="Times New Roman"/>
                <w:i w:val="0"/>
                <w:color w:val="000000"/>
                <w:sz w:val="20"/>
                <w:szCs w:val="20"/>
                <w:u w:val="none"/>
                <w:lang w:eastAsia="zh-CN"/>
              </w:rPr>
            </w:pPr>
            <w:r>
              <w:rPr>
                <w:rFonts w:hint="eastAsia" w:ascii="Times New Roman" w:hAnsi="Times New Roman" w:eastAsia="宋体" w:cs="Times New Roman"/>
                <w:i w:val="0"/>
                <w:color w:val="000000"/>
                <w:sz w:val="20"/>
                <w:szCs w:val="20"/>
                <w:u w:val="none"/>
                <w:lang w:eastAsia="zh-CN"/>
              </w:rPr>
              <w:t>按照预算法及其实施条例、转移支付管理制度规定以及《彩票公益金管理办法》规定的时限要求分解下达资金。广西于2022年11月4日收到财政部下达的资金文，并于2022年12月2日对上述资金进行分解下达，均在规定的时限要求之内。</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CC0DA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A3F0A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5.46</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BDE29F2">
            <w:pPr>
              <w:jc w:val="left"/>
              <w:rPr>
                <w:rFonts w:hint="default" w:ascii="Times New Roman" w:hAnsi="Times New Roman" w:eastAsia="宋体" w:cs="Times New Roman"/>
                <w:i w:val="0"/>
                <w:color w:val="000000"/>
                <w:sz w:val="20"/>
                <w:szCs w:val="20"/>
                <w:u w:val="none"/>
                <w:lang w:val="en-US"/>
              </w:rPr>
            </w:pPr>
            <w:r>
              <w:rPr>
                <w:rFonts w:hint="eastAsia" w:eastAsia="宋体" w:cs="Times New Roman"/>
                <w:i w:val="0"/>
                <w:color w:val="auto"/>
                <w:kern w:val="0"/>
                <w:sz w:val="20"/>
                <w:szCs w:val="20"/>
                <w:u w:val="none"/>
                <w:lang w:val="en-US" w:eastAsia="zh-CN" w:bidi="ar"/>
              </w:rPr>
              <w:t>部分</w:t>
            </w:r>
            <w:r>
              <w:rPr>
                <w:rFonts w:hint="default" w:ascii="Times New Roman" w:hAnsi="Times New Roman" w:eastAsia="宋体" w:cs="Times New Roman"/>
                <w:i w:val="0"/>
                <w:color w:val="auto"/>
                <w:kern w:val="0"/>
                <w:sz w:val="20"/>
                <w:szCs w:val="20"/>
                <w:u w:val="none"/>
                <w:lang w:val="en-US" w:eastAsia="zh-CN" w:bidi="ar"/>
              </w:rPr>
              <w:t>资金方案存在调整，调</w:t>
            </w:r>
            <w:r>
              <w:rPr>
                <w:rFonts w:hint="default" w:ascii="Times New Roman" w:hAnsi="Times New Roman" w:eastAsia="宋体" w:cs="Times New Roman"/>
                <w:i w:val="0"/>
                <w:color w:val="auto"/>
                <w:kern w:val="0"/>
                <w:sz w:val="20"/>
                <w:szCs w:val="20"/>
                <w:highlight w:val="none"/>
                <w:u w:val="none"/>
                <w:lang w:val="en-US" w:eastAsia="zh-CN" w:bidi="ar"/>
              </w:rPr>
              <w:t>整</w:t>
            </w:r>
            <w:r>
              <w:rPr>
                <w:rFonts w:hint="eastAsia" w:eastAsia="宋体" w:cs="Times New Roman"/>
                <w:i w:val="0"/>
                <w:color w:val="auto"/>
                <w:kern w:val="0"/>
                <w:sz w:val="20"/>
                <w:szCs w:val="20"/>
                <w:highlight w:val="none"/>
                <w:u w:val="none"/>
                <w:lang w:val="en-US" w:eastAsia="zh-CN" w:bidi="ar"/>
              </w:rPr>
              <w:t>分配资金</w:t>
            </w:r>
            <w:r>
              <w:rPr>
                <w:rFonts w:hint="default" w:ascii="Times New Roman" w:hAnsi="Times New Roman" w:eastAsia="宋体" w:cs="Times New Roman"/>
                <w:i w:val="0"/>
                <w:color w:val="auto"/>
                <w:kern w:val="0"/>
                <w:sz w:val="20"/>
                <w:szCs w:val="20"/>
                <w:u w:val="none"/>
                <w:lang w:val="en-US" w:eastAsia="zh-CN" w:bidi="ar"/>
              </w:rPr>
              <w:t>较晚</w:t>
            </w:r>
            <w:r>
              <w:rPr>
                <w:rFonts w:hint="eastAsia" w:eastAsia="宋体" w:cs="Times New Roman"/>
                <w:i w:val="0"/>
                <w:color w:val="auto"/>
                <w:kern w:val="0"/>
                <w:sz w:val="20"/>
                <w:szCs w:val="20"/>
                <w:u w:val="none"/>
                <w:lang w:val="en-US" w:eastAsia="zh-CN" w:bidi="ar"/>
              </w:rPr>
              <w:t>。下一步将切实做好相关筹备工作，加快资金预算执行。</w:t>
            </w:r>
          </w:p>
        </w:tc>
      </w:tr>
      <w:tr w14:paraId="6ACB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5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D9B57B2">
            <w:pPr>
              <w:jc w:val="center"/>
              <w:rPr>
                <w:rFonts w:hint="default" w:ascii="Times New Roman" w:hAnsi="Times New Roman" w:eastAsia="宋体" w:cs="Times New Roman"/>
                <w:b/>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1FAED8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拨付合规性</w:t>
            </w: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25B4AEE7">
            <w:pPr>
              <w:jc w:val="left"/>
              <w:rPr>
                <w:rFonts w:hint="eastAsia" w:ascii="Times New Roman" w:hAnsi="Times New Roman" w:eastAsia="宋体" w:cs="Times New Roman"/>
                <w:i w:val="0"/>
                <w:color w:val="000000"/>
                <w:sz w:val="20"/>
                <w:szCs w:val="20"/>
                <w:u w:val="none"/>
                <w:lang w:eastAsia="zh-CN"/>
              </w:rPr>
            </w:pPr>
            <w:r>
              <w:rPr>
                <w:rFonts w:hint="eastAsia" w:eastAsia="宋体" w:cs="Times New Roman"/>
                <w:i w:val="0"/>
                <w:color w:val="000000"/>
                <w:sz w:val="20"/>
                <w:szCs w:val="20"/>
                <w:u w:val="none"/>
                <w:lang w:eastAsia="zh-CN"/>
              </w:rPr>
              <w:t>项目资金按照自治区转移支付、国库集中支付制度执行，将资金按规定拨付至项目执行单位，暂未发现将资金从国库转入财政专户或预算单位实有资金账户的现象。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CE558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57BE7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D3C2BC4">
            <w:pPr>
              <w:jc w:val="center"/>
              <w:rPr>
                <w:rFonts w:hint="default" w:ascii="Times New Roman" w:hAnsi="Times New Roman" w:eastAsia="宋体" w:cs="Times New Roman"/>
                <w:i w:val="0"/>
                <w:color w:val="000000"/>
                <w:sz w:val="20"/>
                <w:szCs w:val="20"/>
                <w:u w:val="none"/>
              </w:rPr>
            </w:pPr>
          </w:p>
        </w:tc>
      </w:tr>
      <w:tr w14:paraId="0653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25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35A20A5">
            <w:pPr>
              <w:jc w:val="center"/>
              <w:rPr>
                <w:rFonts w:hint="default" w:ascii="Times New Roman" w:hAnsi="Times New Roman" w:eastAsia="宋体" w:cs="Times New Roman"/>
                <w:b/>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81FD31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使用规范性</w:t>
            </w: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6DD892A8">
            <w:pPr>
              <w:jc w:val="left"/>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sz w:val="20"/>
                <w:szCs w:val="20"/>
                <w:u w:val="none"/>
              </w:rPr>
              <w:t>项目资金根据《彩票公益金管理办法》及自治区有关规定执行经费支出，同时下发资金使用要求，要求项目执行单位严格按支出范围执行预算，严格加强专项资金使用管理工作，目前尚未发现违规情形，符合资金使用规范性要求。</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B9D4B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E4390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6BF3B6B0">
            <w:pPr>
              <w:jc w:val="center"/>
              <w:rPr>
                <w:rFonts w:hint="default" w:ascii="Times New Roman" w:hAnsi="Times New Roman" w:eastAsia="宋体" w:cs="Times New Roman"/>
                <w:i w:val="0"/>
                <w:color w:val="000000"/>
                <w:sz w:val="20"/>
                <w:szCs w:val="20"/>
                <w:u w:val="none"/>
              </w:rPr>
            </w:pPr>
          </w:p>
        </w:tc>
      </w:tr>
      <w:tr w14:paraId="7CD3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25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1F50492E">
            <w:pPr>
              <w:jc w:val="center"/>
              <w:rPr>
                <w:rFonts w:hint="default" w:ascii="Times New Roman" w:hAnsi="Times New Roman" w:eastAsia="宋体" w:cs="Times New Roman"/>
                <w:b/>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299C04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执行准确性</w:t>
            </w: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558D836D">
            <w:pPr>
              <w:jc w:val="left"/>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i w:val="0"/>
                <w:color w:val="000000"/>
                <w:sz w:val="20"/>
                <w:szCs w:val="20"/>
                <w:u w:val="none"/>
                <w:lang w:val="en-US" w:eastAsia="zh-CN"/>
              </w:rPr>
              <w:t>中央集中彩票公益金支持体育事业专项资金资金全年调整金额2037万元，调整率为29.22%</w:t>
            </w:r>
            <w:r>
              <w:rPr>
                <w:rFonts w:hint="eastAsia" w:eastAsia="宋体" w:cs="Times New Roman"/>
                <w:i w:val="0"/>
                <w:color w:val="000000"/>
                <w:sz w:val="20"/>
                <w:szCs w:val="20"/>
                <w:u w:val="none"/>
                <w:lang w:val="en-US" w:eastAsia="zh-CN"/>
              </w:rPr>
              <w:t>，主要因为</w:t>
            </w:r>
            <w:r>
              <w:rPr>
                <w:rFonts w:hint="default" w:ascii="Times New Roman" w:hAnsi="Times New Roman" w:eastAsia="宋体" w:cs="Times New Roman"/>
                <w:i w:val="0"/>
                <w:color w:val="000000"/>
                <w:sz w:val="20"/>
                <w:szCs w:val="20"/>
                <w:u w:val="none"/>
                <w:lang w:val="en-US" w:eastAsia="zh-CN"/>
              </w:rPr>
              <w:t>体育总局调整工作任务，资金总额不变，结构有所调整，竞技体育工作任务有变，相应资金减少，群众体育、青少年体育工作任务增加，资金相应增加。</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A9AD46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5DC3A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6</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67754EDC">
            <w:pPr>
              <w:jc w:val="center"/>
              <w:rPr>
                <w:rFonts w:hint="default" w:ascii="Times New Roman" w:hAnsi="Times New Roman" w:eastAsia="宋体" w:cs="Times New Roman"/>
                <w:i w:val="0"/>
                <w:color w:val="000000"/>
                <w:sz w:val="20"/>
                <w:szCs w:val="20"/>
                <w:u w:val="none"/>
              </w:rPr>
            </w:pPr>
          </w:p>
        </w:tc>
      </w:tr>
      <w:tr w14:paraId="00D82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5" w:hRule="atLeast"/>
        </w:trPr>
        <w:tc>
          <w:tcPr>
            <w:tcW w:w="25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08C33E9">
            <w:pPr>
              <w:jc w:val="center"/>
              <w:rPr>
                <w:rFonts w:hint="default" w:ascii="Times New Roman" w:hAnsi="Times New Roman" w:eastAsia="宋体" w:cs="Times New Roman"/>
                <w:b/>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36C0E2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预算绩效</w:t>
            </w:r>
            <w:r>
              <w:rPr>
                <w:rFonts w:hint="eastAsia" w:eastAsia="宋体" w:cs="Times New Roman"/>
                <w:b/>
                <w:i w:val="0"/>
                <w:color w:val="000000"/>
                <w:kern w:val="0"/>
                <w:sz w:val="20"/>
                <w:szCs w:val="20"/>
                <w:u w:val="none"/>
                <w:lang w:val="en-US" w:eastAsia="zh-CN" w:bidi="ar"/>
              </w:rPr>
              <w:t xml:space="preserve">     </w:t>
            </w:r>
            <w:r>
              <w:rPr>
                <w:rFonts w:hint="default" w:ascii="Times New Roman" w:hAnsi="Times New Roman" w:eastAsia="宋体" w:cs="Times New Roman"/>
                <w:b/>
                <w:i w:val="0"/>
                <w:color w:val="000000"/>
                <w:kern w:val="0"/>
                <w:sz w:val="20"/>
                <w:szCs w:val="20"/>
                <w:u w:val="none"/>
                <w:lang w:val="en-US" w:eastAsia="zh-CN" w:bidi="ar"/>
              </w:rPr>
              <w:t>管理情况</w:t>
            </w: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1B5F56CB">
            <w:pPr>
              <w:jc w:val="left"/>
              <w:rPr>
                <w:rFonts w:hint="eastAsia"/>
                <w:lang w:eastAsia="zh-CN"/>
              </w:rPr>
            </w:pPr>
            <w:r>
              <w:rPr>
                <w:rFonts w:hint="eastAsia" w:eastAsia="宋体"/>
                <w:color w:val="000000"/>
                <w:sz w:val="20"/>
                <w:szCs w:val="20"/>
                <w:lang w:eastAsia="zh-CN"/>
              </w:rPr>
              <w:t>广西严格按照规定，在分解下达预算时同步下达绩效目标，加强日常预算执行和绩效监控。在年中执行时，印发《自治区体育局关于进一步明确2023年中央集中彩票公益金支持群众体育工作资金使用范围的通知》《自治区体育局关于做好2023年新增中央集中彩票公益金支持青少年体育工作资金使用和监管工作的通知》《自治区体育局关于做好2023年中央集中彩票公益金支持群众体育工作资金使用和监管工作的通知》等文件，督促市县按照资金管理相关规定使用资金。2023年，广西共组织开展了1次督查活动，对3个市、县，3个项目进行了检查，发现问题1个，落实整改1项目。</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BAF27E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714337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2BD84576">
            <w:pPr>
              <w:keepNext w:val="0"/>
              <w:keepLines w:val="0"/>
              <w:widowControl/>
              <w:suppressLineNumbers w:val="0"/>
              <w:jc w:val="left"/>
              <w:textAlignment w:val="center"/>
              <w:rPr>
                <w:rFonts w:hint="default" w:ascii="Times New Roman" w:hAnsi="Times New Roman" w:eastAsia="宋体" w:cs="Times New Roman"/>
                <w:i w:val="0"/>
                <w:color w:val="000000"/>
                <w:sz w:val="16"/>
                <w:szCs w:val="16"/>
                <w:u w:val="none"/>
              </w:rPr>
            </w:pPr>
          </w:p>
        </w:tc>
      </w:tr>
      <w:tr w14:paraId="698B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25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5B86CA4E">
            <w:pPr>
              <w:jc w:val="center"/>
              <w:rPr>
                <w:rFonts w:hint="default" w:ascii="Times New Roman" w:hAnsi="Times New Roman" w:eastAsia="宋体" w:cs="Times New Roman"/>
                <w:b/>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BEBE70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支出责任</w:t>
            </w:r>
            <w:r>
              <w:rPr>
                <w:rFonts w:hint="eastAsia" w:eastAsia="宋体" w:cs="Times New Roman"/>
                <w:b/>
                <w:i w:val="0"/>
                <w:color w:val="000000"/>
                <w:kern w:val="0"/>
                <w:sz w:val="20"/>
                <w:szCs w:val="20"/>
                <w:u w:val="none"/>
                <w:lang w:val="en-US" w:eastAsia="zh-CN" w:bidi="ar"/>
              </w:rPr>
              <w:t xml:space="preserve">     </w:t>
            </w:r>
            <w:r>
              <w:rPr>
                <w:rFonts w:hint="default" w:ascii="Times New Roman" w:hAnsi="Times New Roman" w:eastAsia="宋体" w:cs="Times New Roman"/>
                <w:b/>
                <w:i w:val="0"/>
                <w:color w:val="000000"/>
                <w:kern w:val="0"/>
                <w:sz w:val="20"/>
                <w:szCs w:val="20"/>
                <w:u w:val="none"/>
                <w:lang w:val="en-US" w:eastAsia="zh-CN" w:bidi="ar"/>
              </w:rPr>
              <w:t>履行情况</w:t>
            </w:r>
          </w:p>
        </w:tc>
        <w:tc>
          <w:tcPr>
            <w:tcW w:w="3785" w:type="dxa"/>
            <w:gridSpan w:val="2"/>
            <w:tcBorders>
              <w:top w:val="single" w:color="000000" w:sz="4" w:space="0"/>
              <w:left w:val="single" w:color="000000" w:sz="4" w:space="0"/>
              <w:bottom w:val="single" w:color="000000" w:sz="4" w:space="0"/>
              <w:right w:val="single" w:color="000000" w:sz="4" w:space="0"/>
            </w:tcBorders>
            <w:noWrap w:val="0"/>
            <w:vAlign w:val="center"/>
          </w:tcPr>
          <w:p w14:paraId="35FA7889">
            <w:pPr>
              <w:jc w:val="left"/>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各项目执行单位严格按照《彩票公益金管理办法》、预算和审批程序等有关规定严格控制资金使用范围，做到专款专用，支出责任履行层次合理、分明，支出责任划分清晰、合理、规范，支出责任已得到有效履行。</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659FCB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BB689A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636D8042">
            <w:pPr>
              <w:jc w:val="center"/>
              <w:rPr>
                <w:rFonts w:hint="default" w:ascii="Times New Roman" w:hAnsi="Times New Roman" w:eastAsia="宋体" w:cs="Times New Roman"/>
                <w:i w:val="0"/>
                <w:color w:val="000000"/>
                <w:sz w:val="20"/>
                <w:szCs w:val="20"/>
                <w:u w:val="none"/>
              </w:rPr>
            </w:pPr>
          </w:p>
        </w:tc>
      </w:tr>
      <w:tr w14:paraId="700D8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86" w:type="dxa"/>
            <w:gridSpan w:val="7"/>
            <w:tcBorders>
              <w:top w:val="single" w:color="000000" w:sz="4" w:space="0"/>
              <w:left w:val="single" w:color="000000" w:sz="4" w:space="0"/>
              <w:bottom w:val="single" w:color="000000" w:sz="4" w:space="0"/>
              <w:right w:val="single" w:color="000000" w:sz="4" w:space="0"/>
            </w:tcBorders>
            <w:noWrap w:val="0"/>
            <w:vAlign w:val="center"/>
          </w:tcPr>
          <w:p w14:paraId="3572347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21D547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65C948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39.46</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7ACA7044">
            <w:pPr>
              <w:jc w:val="center"/>
              <w:rPr>
                <w:rFonts w:hint="default" w:ascii="Times New Roman" w:hAnsi="Times New Roman" w:eastAsia="宋体" w:cs="Times New Roman"/>
                <w:i w:val="0"/>
                <w:color w:val="000000"/>
                <w:sz w:val="20"/>
                <w:szCs w:val="20"/>
                <w:u w:val="none"/>
              </w:rPr>
            </w:pPr>
          </w:p>
        </w:tc>
      </w:tr>
      <w:tr w14:paraId="5E490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506" w:type="dxa"/>
            <w:vMerge w:val="restart"/>
            <w:tcBorders>
              <w:top w:val="single" w:color="auto" w:sz="4" w:space="0"/>
              <w:left w:val="single" w:color="auto" w:sz="4" w:space="0"/>
              <w:bottom w:val="single" w:color="auto" w:sz="4" w:space="0"/>
              <w:right w:val="single" w:color="auto" w:sz="4" w:space="0"/>
            </w:tcBorders>
            <w:noWrap w:val="0"/>
            <w:vAlign w:val="center"/>
          </w:tcPr>
          <w:p w14:paraId="7DA0380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总体目标完成情况</w:t>
            </w:r>
          </w:p>
        </w:tc>
        <w:tc>
          <w:tcPr>
            <w:tcW w:w="5998" w:type="dxa"/>
            <w:gridSpan w:val="5"/>
            <w:tcBorders>
              <w:top w:val="single" w:color="auto" w:sz="4" w:space="0"/>
              <w:left w:val="single" w:color="auto" w:sz="4" w:space="0"/>
              <w:bottom w:val="single" w:color="auto" w:sz="4" w:space="0"/>
              <w:right w:val="single" w:color="000000" w:sz="4" w:space="0"/>
            </w:tcBorders>
            <w:noWrap w:val="0"/>
            <w:vAlign w:val="center"/>
          </w:tcPr>
          <w:p w14:paraId="372FC1A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总体目标</w:t>
            </w:r>
          </w:p>
        </w:tc>
        <w:tc>
          <w:tcPr>
            <w:tcW w:w="6312" w:type="dxa"/>
            <w:gridSpan w:val="4"/>
            <w:tcBorders>
              <w:top w:val="single" w:color="auto" w:sz="4" w:space="0"/>
              <w:left w:val="single" w:color="000000" w:sz="4" w:space="0"/>
              <w:bottom w:val="single" w:color="auto" w:sz="4" w:space="0"/>
              <w:right w:val="single" w:color="auto" w:sz="4" w:space="0"/>
            </w:tcBorders>
            <w:noWrap w:val="0"/>
            <w:vAlign w:val="center"/>
          </w:tcPr>
          <w:p w14:paraId="54C6069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全年实际完成情况</w:t>
            </w:r>
          </w:p>
        </w:tc>
      </w:tr>
      <w:tr w14:paraId="10ED1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6" w:type="dxa"/>
            <w:vMerge w:val="continue"/>
            <w:tcBorders>
              <w:top w:val="single" w:color="auto" w:sz="4" w:space="0"/>
              <w:left w:val="single" w:color="auto" w:sz="4" w:space="0"/>
              <w:bottom w:val="single" w:color="auto" w:sz="4" w:space="0"/>
              <w:right w:val="single" w:color="000000" w:sz="4" w:space="0"/>
            </w:tcBorders>
            <w:noWrap w:val="0"/>
            <w:vAlign w:val="center"/>
          </w:tcPr>
          <w:p w14:paraId="7FB07498">
            <w:pPr>
              <w:jc w:val="center"/>
              <w:rPr>
                <w:rFonts w:hint="default" w:ascii="Times New Roman" w:hAnsi="Times New Roman" w:eastAsia="宋体" w:cs="Times New Roman"/>
                <w:b/>
                <w:i w:val="0"/>
                <w:color w:val="000000"/>
                <w:sz w:val="20"/>
                <w:szCs w:val="20"/>
                <w:u w:val="none"/>
              </w:rPr>
            </w:pPr>
          </w:p>
        </w:tc>
        <w:tc>
          <w:tcPr>
            <w:tcW w:w="5998" w:type="dxa"/>
            <w:gridSpan w:val="5"/>
            <w:tcBorders>
              <w:top w:val="single" w:color="auto" w:sz="4" w:space="0"/>
              <w:left w:val="single" w:color="000000" w:sz="4" w:space="0"/>
              <w:bottom w:val="single" w:color="000000" w:sz="4" w:space="0"/>
              <w:right w:val="single" w:color="000000" w:sz="4" w:space="0"/>
            </w:tcBorders>
            <w:noWrap w:val="0"/>
            <w:vAlign w:val="center"/>
          </w:tcPr>
          <w:p w14:paraId="4EBA31B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highlight w:val="none"/>
                <w:u w:val="none"/>
                <w:lang w:val="en-US" w:eastAsia="zh-CN" w:bidi="ar"/>
              </w:rPr>
            </w:pPr>
            <w:r>
              <w:rPr>
                <w:rFonts w:hint="eastAsia" w:eastAsia="宋体" w:cs="Times New Roman"/>
                <w:i w:val="0"/>
                <w:color w:val="000000"/>
                <w:kern w:val="0"/>
                <w:sz w:val="20"/>
                <w:szCs w:val="20"/>
                <w:highlight w:val="none"/>
                <w:u w:val="none"/>
                <w:lang w:val="en-US" w:eastAsia="zh-CN" w:bidi="ar"/>
              </w:rPr>
              <w:t>加强全民健身场地设施建设，举办全民健身赛事活动，开展社会体育指导员培训，开展国家体育锻炼标准达标测验活动，进一步丰富完善全民健身公共服务体系，促进全民健身事业发展。开展青少年运动技能普及和体育赛事活动，资助国家高水平体育后备人才基地，依托体校建立青训中心。</w:t>
            </w:r>
          </w:p>
        </w:tc>
        <w:tc>
          <w:tcPr>
            <w:tcW w:w="6312" w:type="dxa"/>
            <w:gridSpan w:val="4"/>
            <w:tcBorders>
              <w:top w:val="single" w:color="auto" w:sz="4" w:space="0"/>
              <w:left w:val="single" w:color="000000" w:sz="4" w:space="0"/>
              <w:bottom w:val="single" w:color="000000" w:sz="4" w:space="0"/>
              <w:right w:val="single" w:color="000000" w:sz="4" w:space="0"/>
            </w:tcBorders>
            <w:noWrap w:val="0"/>
            <w:vAlign w:val="center"/>
          </w:tcPr>
          <w:p w14:paraId="6A79E391">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1.支持全民健身场地建设261个；</w:t>
            </w:r>
          </w:p>
          <w:p w14:paraId="67676AC8">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2.支持赛事活动1,629场：群众体育开展全民健身赛事活动1,622场，青少年体育开展赛事活动7场；</w:t>
            </w:r>
          </w:p>
          <w:p w14:paraId="5A148F9A">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3.参加赛事活动911,054人次：参加全民健身赛事活动 379,363人次；参加青少年赛事活动1,691人次，参加青少年运动技能普及活动530,000人次；</w:t>
            </w:r>
          </w:p>
          <w:p w14:paraId="7889A094">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4.人才培养242人：开展3期社会指导员培训数量共242人；</w:t>
            </w:r>
          </w:p>
          <w:p w14:paraId="0D30A56E">
            <w:pPr>
              <w:keepNext w:val="0"/>
              <w:keepLines w:val="0"/>
              <w:widowControl/>
              <w:suppressLineNumbers w:val="0"/>
              <w:jc w:val="left"/>
              <w:textAlignment w:val="center"/>
              <w:rPr>
                <w:rFonts w:hint="eastAsia" w:ascii="Times New Roman" w:hAnsi="Times New Roman" w:eastAsia="宋体" w:cs="Times New Roman"/>
                <w:i w:val="0"/>
                <w:color w:val="000000"/>
                <w:kern w:val="0"/>
                <w:sz w:val="20"/>
                <w:szCs w:val="20"/>
                <w:highlight w:val="none"/>
                <w:u w:val="none"/>
                <w:lang w:val="en-US" w:eastAsia="zh-CN" w:bidi="ar"/>
              </w:rPr>
            </w:pPr>
            <w:r>
              <w:rPr>
                <w:rFonts w:hint="eastAsia" w:ascii="Times New Roman" w:hAnsi="Times New Roman" w:eastAsia="宋体" w:cs="Times New Roman"/>
                <w:i w:val="0"/>
                <w:color w:val="000000"/>
                <w:kern w:val="0"/>
                <w:sz w:val="20"/>
                <w:szCs w:val="20"/>
                <w:highlight w:val="none"/>
                <w:u w:val="none"/>
                <w:lang w:val="en-US" w:eastAsia="zh-CN" w:bidi="ar"/>
              </w:rPr>
              <w:t>5.支持5个青训中心建设和3个重点项目开展后备人才梯队建设；</w:t>
            </w:r>
          </w:p>
          <w:p w14:paraId="4A9B3C9C">
            <w:pPr>
              <w:keepNext w:val="0"/>
              <w:keepLines w:val="0"/>
              <w:widowControl/>
              <w:suppressLineNumbers w:val="0"/>
              <w:jc w:val="left"/>
              <w:textAlignment w:val="center"/>
              <w:rPr>
                <w:rFonts w:hint="default"/>
                <w:lang w:val="en-US" w:eastAsia="zh-CN"/>
              </w:rPr>
            </w:pPr>
            <w:r>
              <w:rPr>
                <w:rFonts w:hint="eastAsia" w:ascii="Times New Roman" w:hAnsi="Times New Roman" w:eastAsia="宋体" w:cs="Times New Roman"/>
                <w:i w:val="0"/>
                <w:color w:val="000000"/>
                <w:kern w:val="0"/>
                <w:sz w:val="20"/>
                <w:szCs w:val="20"/>
                <w:highlight w:val="none"/>
                <w:u w:val="none"/>
                <w:lang w:val="en-US" w:eastAsia="zh-CN" w:bidi="ar"/>
              </w:rPr>
              <w:t>6.国家体育锻炼标准达标测验活动、全民健身志愿服务活动等未开展。</w:t>
            </w:r>
          </w:p>
        </w:tc>
      </w:tr>
      <w:tr w14:paraId="68167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506" w:type="dxa"/>
            <w:vMerge w:val="restart"/>
            <w:tcBorders>
              <w:top w:val="single" w:color="auto" w:sz="4" w:space="0"/>
              <w:left w:val="single" w:color="auto" w:sz="4" w:space="0"/>
              <w:bottom w:val="single" w:color="auto" w:sz="4" w:space="0"/>
              <w:right w:val="single" w:color="000000" w:sz="4" w:space="0"/>
            </w:tcBorders>
            <w:noWrap w:val="0"/>
            <w:textDirection w:val="tbRlV"/>
            <w:vAlign w:val="center"/>
          </w:tcPr>
          <w:p w14:paraId="5FF4FF6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绩效指标</w:t>
            </w:r>
          </w:p>
        </w:tc>
        <w:tc>
          <w:tcPr>
            <w:tcW w:w="1007" w:type="dxa"/>
            <w:gridSpan w:val="2"/>
            <w:tcBorders>
              <w:top w:val="single" w:color="auto" w:sz="4" w:space="0"/>
              <w:left w:val="single" w:color="000000" w:sz="4" w:space="0"/>
              <w:bottom w:val="single" w:color="000000" w:sz="4" w:space="0"/>
              <w:right w:val="single" w:color="auto" w:sz="4" w:space="0"/>
            </w:tcBorders>
            <w:noWrap w:val="0"/>
            <w:vAlign w:val="center"/>
          </w:tcPr>
          <w:p w14:paraId="36D5167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一级</w:t>
            </w:r>
            <w:r>
              <w:rPr>
                <w:rFonts w:hint="default" w:ascii="Times New Roman" w:hAnsi="Times New Roman" w:eastAsia="宋体" w:cs="Times New Roman"/>
                <w:b/>
                <w:i w:val="0"/>
                <w:color w:val="000000"/>
                <w:kern w:val="0"/>
                <w:sz w:val="20"/>
                <w:szCs w:val="20"/>
                <w:u w:val="none"/>
                <w:lang w:val="en-US" w:eastAsia="zh-CN" w:bidi="ar"/>
              </w:rPr>
              <w:br w:type="textWrapping"/>
            </w:r>
            <w:r>
              <w:rPr>
                <w:rFonts w:hint="default" w:ascii="Times New Roman" w:hAnsi="Times New Roman" w:eastAsia="宋体" w:cs="Times New Roman"/>
                <w:b/>
                <w:i w:val="0"/>
                <w:color w:val="000000"/>
                <w:kern w:val="0"/>
                <w:sz w:val="20"/>
                <w:szCs w:val="20"/>
                <w:u w:val="none"/>
                <w:lang w:val="en-US" w:eastAsia="zh-CN" w:bidi="ar"/>
              </w:rPr>
              <w:t>指标</w:t>
            </w:r>
          </w:p>
        </w:tc>
        <w:tc>
          <w:tcPr>
            <w:tcW w:w="1081" w:type="dxa"/>
            <w:tcBorders>
              <w:top w:val="single" w:color="000000" w:sz="4" w:space="0"/>
              <w:left w:val="single" w:color="auto" w:sz="4" w:space="0"/>
              <w:bottom w:val="single" w:color="000000" w:sz="4" w:space="0"/>
              <w:right w:val="single" w:color="000000" w:sz="4" w:space="0"/>
            </w:tcBorders>
            <w:noWrap w:val="0"/>
            <w:vAlign w:val="center"/>
          </w:tcPr>
          <w:p w14:paraId="0BE0401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二级指标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75DF12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三级指标</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2BA50C6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指标值</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029888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全年实际        完成值</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CE0454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分值</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A2D961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得分</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5C4CD1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未完成原因和改进措施</w:t>
            </w:r>
          </w:p>
        </w:tc>
      </w:tr>
      <w:tr w14:paraId="3652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3172CB58">
            <w:pPr>
              <w:jc w:val="center"/>
              <w:rPr>
                <w:rFonts w:hint="default" w:ascii="Times New Roman" w:hAnsi="Times New Roman" w:eastAsia="宋体" w:cs="Times New Roman"/>
                <w:b/>
                <w:i w:val="0"/>
                <w:color w:val="000000"/>
                <w:sz w:val="20"/>
                <w:szCs w:val="20"/>
                <w:u w:val="none"/>
              </w:rPr>
            </w:pPr>
          </w:p>
        </w:tc>
        <w:tc>
          <w:tcPr>
            <w:tcW w:w="1007" w:type="dxa"/>
            <w:gridSpan w:val="2"/>
            <w:vMerge w:val="restart"/>
            <w:tcBorders>
              <w:top w:val="single" w:color="000000" w:sz="4" w:space="0"/>
              <w:left w:val="single" w:color="000000" w:sz="4" w:space="0"/>
              <w:bottom w:val="single" w:color="auto" w:sz="4" w:space="0"/>
              <w:right w:val="single" w:color="auto" w:sz="4" w:space="0"/>
            </w:tcBorders>
            <w:noWrap w:val="0"/>
            <w:vAlign w:val="center"/>
          </w:tcPr>
          <w:p w14:paraId="411180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出</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30分</w:t>
            </w:r>
          </w:p>
        </w:tc>
        <w:tc>
          <w:tcPr>
            <w:tcW w:w="1081" w:type="dxa"/>
            <w:vMerge w:val="restart"/>
            <w:tcBorders>
              <w:top w:val="single" w:color="000000" w:sz="4" w:space="0"/>
              <w:left w:val="single" w:color="auto" w:sz="4" w:space="0"/>
              <w:bottom w:val="single" w:color="000000" w:sz="4" w:space="0"/>
              <w:right w:val="single" w:color="000000" w:sz="4" w:space="0"/>
            </w:tcBorders>
            <w:noWrap w:val="0"/>
            <w:vAlign w:val="center"/>
          </w:tcPr>
          <w:p w14:paraId="0B5FE5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1B308685">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支持场地设施数量</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≥个</w:t>
            </w:r>
            <w:r>
              <w:rPr>
                <w:rFonts w:hint="eastAsia" w:eastAsia="宋体" w:cs="Times New Roman"/>
                <w:i w:val="0"/>
                <w:color w:val="000000"/>
                <w:kern w:val="0"/>
                <w:sz w:val="20"/>
                <w:szCs w:val="20"/>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0D987A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248</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70455A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261</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C889AB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FB216F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226A07C">
            <w:pPr>
              <w:jc w:val="center"/>
              <w:rPr>
                <w:rFonts w:hint="default" w:ascii="Times New Roman" w:hAnsi="Times New Roman" w:eastAsia="宋体" w:cs="Times New Roman"/>
                <w:i w:val="0"/>
                <w:color w:val="000000"/>
                <w:sz w:val="20"/>
                <w:szCs w:val="20"/>
                <w:u w:val="none"/>
                <w:lang w:val="en-US" w:eastAsia="zh-CN"/>
              </w:rPr>
            </w:pPr>
          </w:p>
        </w:tc>
      </w:tr>
      <w:tr w14:paraId="387A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61246E34">
            <w:pPr>
              <w:jc w:val="center"/>
              <w:rPr>
                <w:rFonts w:hint="default" w:ascii="Times New Roman" w:hAnsi="Times New Roman" w:eastAsia="宋体" w:cs="Times New Roman"/>
                <w:b/>
                <w:i w:val="0"/>
                <w:color w:val="000000"/>
                <w:sz w:val="20"/>
                <w:szCs w:val="20"/>
                <w:u w:val="none"/>
              </w:rPr>
            </w:pPr>
          </w:p>
        </w:tc>
        <w:tc>
          <w:tcPr>
            <w:tcW w:w="1007"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14:paraId="08107824">
            <w:pPr>
              <w:jc w:val="center"/>
              <w:rPr>
                <w:rFonts w:hint="default" w:ascii="Times New Roman" w:hAnsi="Times New Roman" w:eastAsia="宋体" w:cs="Times New Roman"/>
                <w:i w:val="0"/>
                <w:color w:val="000000"/>
                <w:sz w:val="20"/>
                <w:szCs w:val="20"/>
                <w:u w:val="none"/>
              </w:rPr>
            </w:pPr>
          </w:p>
        </w:tc>
        <w:tc>
          <w:tcPr>
            <w:tcW w:w="1081" w:type="dxa"/>
            <w:vMerge w:val="continue"/>
            <w:tcBorders>
              <w:top w:val="single" w:color="000000" w:sz="4" w:space="0"/>
              <w:left w:val="single" w:color="auto" w:sz="4" w:space="0"/>
              <w:bottom w:val="single" w:color="000000" w:sz="4" w:space="0"/>
              <w:right w:val="single" w:color="000000" w:sz="4" w:space="0"/>
            </w:tcBorders>
            <w:noWrap w:val="0"/>
            <w:vAlign w:val="center"/>
          </w:tcPr>
          <w:p w14:paraId="3BA497ED">
            <w:pPr>
              <w:jc w:val="center"/>
              <w:rPr>
                <w:rFonts w:hint="default" w:ascii="Times New Roman" w:hAnsi="Times New Roman" w:eastAsia="宋体" w:cs="Times New Roman"/>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415BE2E">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支持赛事活动数量</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场次）</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4616C5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532</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DDA3E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1629</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D4851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4DE3F4E7">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3</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615EDD3A">
            <w:pPr>
              <w:jc w:val="center"/>
              <w:rPr>
                <w:rFonts w:hint="default" w:ascii="Times New Roman" w:hAnsi="Times New Roman" w:eastAsia="宋体" w:cs="Times New Roman"/>
                <w:i w:val="0"/>
                <w:color w:val="000000"/>
                <w:sz w:val="20"/>
                <w:szCs w:val="20"/>
                <w:u w:val="none"/>
              </w:rPr>
            </w:pPr>
          </w:p>
        </w:tc>
      </w:tr>
      <w:tr w14:paraId="05CF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123E2DD4">
            <w:pPr>
              <w:jc w:val="center"/>
              <w:rPr>
                <w:rFonts w:hint="default" w:ascii="Times New Roman" w:hAnsi="Times New Roman" w:eastAsia="宋体" w:cs="Times New Roman"/>
                <w:b/>
                <w:i w:val="0"/>
                <w:color w:val="000000"/>
                <w:sz w:val="20"/>
                <w:szCs w:val="20"/>
                <w:u w:val="none"/>
              </w:rPr>
            </w:pPr>
          </w:p>
        </w:tc>
        <w:tc>
          <w:tcPr>
            <w:tcW w:w="1007"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14:paraId="4008F82B">
            <w:pPr>
              <w:jc w:val="center"/>
              <w:rPr>
                <w:rFonts w:hint="default" w:ascii="Times New Roman" w:hAnsi="Times New Roman" w:eastAsia="宋体" w:cs="Times New Roman"/>
                <w:i w:val="0"/>
                <w:color w:val="000000"/>
                <w:sz w:val="20"/>
                <w:szCs w:val="20"/>
                <w:u w:val="none"/>
              </w:rPr>
            </w:pPr>
          </w:p>
        </w:tc>
        <w:tc>
          <w:tcPr>
            <w:tcW w:w="1081" w:type="dxa"/>
            <w:vMerge w:val="continue"/>
            <w:tcBorders>
              <w:top w:val="single" w:color="000000" w:sz="4" w:space="0"/>
              <w:left w:val="single" w:color="auto" w:sz="4" w:space="0"/>
              <w:bottom w:val="single" w:color="000000" w:sz="4" w:space="0"/>
              <w:right w:val="single" w:color="000000" w:sz="4" w:space="0"/>
            </w:tcBorders>
            <w:noWrap w:val="0"/>
            <w:vAlign w:val="center"/>
          </w:tcPr>
          <w:p w14:paraId="078DA7C2">
            <w:pPr>
              <w:jc w:val="center"/>
              <w:rPr>
                <w:rFonts w:hint="default" w:ascii="Times New Roman" w:hAnsi="Times New Roman" w:eastAsia="宋体" w:cs="Times New Roman"/>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0C13FCF3">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参加赛事活动人次</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人次）</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6C34CC3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560515</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D08D3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911054</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2CC32F2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8084BB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4</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0EDAE173">
            <w:pPr>
              <w:jc w:val="center"/>
              <w:rPr>
                <w:rFonts w:hint="default" w:ascii="Times New Roman" w:hAnsi="Times New Roman" w:eastAsia="宋体" w:cs="Times New Roman"/>
                <w:i w:val="0"/>
                <w:color w:val="000000"/>
                <w:sz w:val="20"/>
                <w:szCs w:val="20"/>
                <w:u w:val="none"/>
              </w:rPr>
            </w:pPr>
          </w:p>
        </w:tc>
      </w:tr>
      <w:tr w14:paraId="530F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22EB5F02">
            <w:pPr>
              <w:jc w:val="center"/>
              <w:rPr>
                <w:rFonts w:hint="default" w:ascii="Times New Roman" w:hAnsi="Times New Roman" w:eastAsia="宋体" w:cs="Times New Roman"/>
                <w:b/>
                <w:i w:val="0"/>
                <w:color w:val="000000"/>
                <w:sz w:val="20"/>
                <w:szCs w:val="20"/>
                <w:u w:val="none"/>
              </w:rPr>
            </w:pPr>
          </w:p>
        </w:tc>
        <w:tc>
          <w:tcPr>
            <w:tcW w:w="1007"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14:paraId="275A7074">
            <w:pPr>
              <w:jc w:val="center"/>
              <w:rPr>
                <w:rFonts w:hint="default" w:ascii="Times New Roman" w:hAnsi="Times New Roman" w:eastAsia="宋体" w:cs="Times New Roman"/>
                <w:i w:val="0"/>
                <w:color w:val="000000"/>
                <w:sz w:val="20"/>
                <w:szCs w:val="20"/>
                <w:u w:val="none"/>
              </w:rPr>
            </w:pPr>
          </w:p>
        </w:tc>
        <w:tc>
          <w:tcPr>
            <w:tcW w:w="1081" w:type="dxa"/>
            <w:vMerge w:val="continue"/>
            <w:tcBorders>
              <w:top w:val="single" w:color="000000" w:sz="4" w:space="0"/>
              <w:left w:val="single" w:color="auto" w:sz="4" w:space="0"/>
              <w:bottom w:val="single" w:color="000000" w:sz="4" w:space="0"/>
              <w:right w:val="single" w:color="000000" w:sz="4" w:space="0"/>
            </w:tcBorders>
            <w:noWrap w:val="0"/>
            <w:vAlign w:val="center"/>
          </w:tcPr>
          <w:p w14:paraId="67C7D87D">
            <w:pPr>
              <w:jc w:val="center"/>
              <w:rPr>
                <w:rFonts w:hint="default" w:ascii="Times New Roman" w:hAnsi="Times New Roman" w:eastAsia="宋体" w:cs="Times New Roman"/>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95371DB">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人才培养培训数量</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人）</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594241F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150</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6D43D44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242</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6A54A4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27210CA">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3</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42323E3F">
            <w:pPr>
              <w:jc w:val="center"/>
              <w:rPr>
                <w:rFonts w:hint="default" w:ascii="Times New Roman" w:hAnsi="Times New Roman" w:eastAsia="宋体" w:cs="Times New Roman"/>
                <w:i w:val="0"/>
                <w:color w:val="000000"/>
                <w:sz w:val="20"/>
                <w:szCs w:val="20"/>
                <w:u w:val="none"/>
              </w:rPr>
            </w:pPr>
          </w:p>
        </w:tc>
      </w:tr>
      <w:tr w14:paraId="778C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281E515F">
            <w:pPr>
              <w:jc w:val="center"/>
              <w:rPr>
                <w:rFonts w:hint="default" w:ascii="Times New Roman" w:hAnsi="Times New Roman" w:eastAsia="宋体" w:cs="Times New Roman"/>
                <w:b/>
                <w:i w:val="0"/>
                <w:color w:val="000000"/>
                <w:sz w:val="20"/>
                <w:szCs w:val="20"/>
                <w:u w:val="none"/>
              </w:rPr>
            </w:pPr>
          </w:p>
        </w:tc>
        <w:tc>
          <w:tcPr>
            <w:tcW w:w="1007"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14:paraId="4B4B01E2">
            <w:pPr>
              <w:jc w:val="center"/>
              <w:rPr>
                <w:rFonts w:hint="default" w:ascii="Times New Roman" w:hAnsi="Times New Roman" w:eastAsia="宋体" w:cs="Times New Roman"/>
                <w:i w:val="0"/>
                <w:color w:val="000000"/>
                <w:sz w:val="20"/>
                <w:szCs w:val="20"/>
                <w:u w:val="none"/>
              </w:rPr>
            </w:pPr>
          </w:p>
        </w:tc>
        <w:tc>
          <w:tcPr>
            <w:tcW w:w="1081" w:type="dxa"/>
            <w:vMerge w:val="restart"/>
            <w:tcBorders>
              <w:top w:val="single" w:color="000000" w:sz="4" w:space="0"/>
              <w:left w:val="single" w:color="auto" w:sz="4" w:space="0"/>
              <w:bottom w:val="single" w:color="000000" w:sz="4" w:space="0"/>
              <w:right w:val="single" w:color="000000" w:sz="4" w:space="0"/>
            </w:tcBorders>
            <w:noWrap w:val="0"/>
            <w:vAlign w:val="center"/>
          </w:tcPr>
          <w:p w14:paraId="327E99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4C37B80A">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lang w:val="en-US"/>
              </w:rPr>
            </w:pPr>
            <w:r>
              <w:rPr>
                <w:rStyle w:val="10"/>
                <w:rFonts w:hint="default" w:ascii="Times New Roman" w:hAnsi="Times New Roman" w:cs="Times New Roman"/>
                <w:lang w:val="en-US" w:eastAsia="zh-CN" w:bidi="ar"/>
              </w:rPr>
              <w:t>场地设施竣工验收合格率</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522D3E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BFD5C84">
            <w:pPr>
              <w:jc w:val="center"/>
              <w:rPr>
                <w:rFonts w:hint="default"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100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144FB8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12A5B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0048C38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7C61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73704023">
            <w:pPr>
              <w:jc w:val="center"/>
              <w:rPr>
                <w:rFonts w:hint="default" w:ascii="Times New Roman" w:hAnsi="Times New Roman" w:eastAsia="宋体" w:cs="Times New Roman"/>
                <w:b/>
                <w:i w:val="0"/>
                <w:color w:val="000000"/>
                <w:sz w:val="20"/>
                <w:szCs w:val="20"/>
                <w:u w:val="none"/>
              </w:rPr>
            </w:pPr>
          </w:p>
        </w:tc>
        <w:tc>
          <w:tcPr>
            <w:tcW w:w="1007"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14:paraId="6BE2488E">
            <w:pPr>
              <w:jc w:val="center"/>
              <w:rPr>
                <w:rFonts w:hint="default" w:ascii="Times New Roman" w:hAnsi="Times New Roman" w:eastAsia="宋体" w:cs="Times New Roman"/>
                <w:i w:val="0"/>
                <w:color w:val="000000"/>
                <w:sz w:val="20"/>
                <w:szCs w:val="20"/>
                <w:u w:val="none"/>
              </w:rPr>
            </w:pPr>
          </w:p>
        </w:tc>
        <w:tc>
          <w:tcPr>
            <w:tcW w:w="1081" w:type="dxa"/>
            <w:vMerge w:val="continue"/>
            <w:tcBorders>
              <w:top w:val="single" w:color="000000" w:sz="4" w:space="0"/>
              <w:left w:val="single" w:color="auto" w:sz="4" w:space="0"/>
              <w:bottom w:val="single" w:color="000000" w:sz="4" w:space="0"/>
              <w:right w:val="single" w:color="000000" w:sz="4" w:space="0"/>
            </w:tcBorders>
            <w:noWrap w:val="0"/>
            <w:vAlign w:val="center"/>
          </w:tcPr>
          <w:p w14:paraId="1A9C3453">
            <w:pPr>
              <w:jc w:val="center"/>
              <w:rPr>
                <w:rFonts w:hint="default" w:ascii="Times New Roman" w:hAnsi="Times New Roman" w:eastAsia="宋体" w:cs="Times New Roman"/>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28BE93A2">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赛事和活动任务完成率</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73BBEE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95</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22FB203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100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44309D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0DA19A06">
            <w:pPr>
              <w:keepNext w:val="0"/>
              <w:keepLines w:val="0"/>
              <w:widowControl/>
              <w:suppressLineNumbers w:val="0"/>
              <w:jc w:val="center"/>
              <w:textAlignment w:val="center"/>
              <w:rPr>
                <w:rFonts w:hint="eastAsia"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7A68593F">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lang w:val="en-US" w:eastAsia="zh-CN"/>
              </w:rPr>
            </w:pPr>
            <w:r>
              <w:rPr>
                <w:rFonts w:hint="eastAsia" w:eastAsia="宋体" w:cs="Times New Roman"/>
                <w:i w:val="0"/>
                <w:color w:val="000000"/>
                <w:sz w:val="20"/>
                <w:szCs w:val="20"/>
                <w:highlight w:val="none"/>
                <w:u w:val="none"/>
                <w:lang w:val="en-US" w:eastAsia="zh-CN"/>
              </w:rPr>
              <w:t>补充说明：全民健身赛事活动任务495场，实际完成1,622场，超额完成指标。但是国家体育锻炼标准达标测验活动、全民健身志愿服务活动等未开展。在国家体育总局体育彩票公益金管理系统输入完成值后自动认定完成100%。</w:t>
            </w:r>
          </w:p>
        </w:tc>
      </w:tr>
      <w:tr w14:paraId="79BC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29FF000E">
            <w:pPr>
              <w:jc w:val="center"/>
              <w:rPr>
                <w:rFonts w:hint="default" w:ascii="Times New Roman" w:hAnsi="Times New Roman" w:eastAsia="宋体" w:cs="Times New Roman"/>
                <w:b/>
                <w:i w:val="0"/>
                <w:color w:val="000000"/>
                <w:sz w:val="20"/>
                <w:szCs w:val="20"/>
                <w:u w:val="none"/>
              </w:rPr>
            </w:pPr>
          </w:p>
        </w:tc>
        <w:tc>
          <w:tcPr>
            <w:tcW w:w="1007" w:type="dxa"/>
            <w:gridSpan w:val="2"/>
            <w:vMerge w:val="continue"/>
            <w:tcBorders>
              <w:top w:val="single" w:color="auto" w:sz="4" w:space="0"/>
              <w:left w:val="single" w:color="000000" w:sz="4" w:space="0"/>
              <w:bottom w:val="single" w:color="auto" w:sz="4" w:space="0"/>
              <w:right w:val="single" w:color="auto" w:sz="4" w:space="0"/>
            </w:tcBorders>
            <w:noWrap w:val="0"/>
            <w:vAlign w:val="center"/>
          </w:tcPr>
          <w:p w14:paraId="00491B20">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c>
          <w:tcPr>
            <w:tcW w:w="1081" w:type="dxa"/>
            <w:tcBorders>
              <w:top w:val="single" w:color="000000" w:sz="4" w:space="0"/>
              <w:left w:val="single" w:color="auto" w:sz="4" w:space="0"/>
              <w:bottom w:val="single" w:color="000000" w:sz="4" w:space="0"/>
              <w:right w:val="single" w:color="000000" w:sz="4" w:space="0"/>
            </w:tcBorders>
            <w:noWrap w:val="0"/>
            <w:vAlign w:val="center"/>
          </w:tcPr>
          <w:p w14:paraId="7923968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时效指标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1FF2447">
            <w:pPr>
              <w:keepNext w:val="0"/>
              <w:keepLines w:val="0"/>
              <w:widowControl/>
              <w:suppressLineNumbers w:val="0"/>
              <w:jc w:val="center"/>
              <w:textAlignment w:val="center"/>
              <w:rPr>
                <w:rStyle w:val="10"/>
                <w:rFonts w:hint="default" w:ascii="Times New Roman" w:hAnsi="Times New Roman" w:cs="Times New Roman"/>
                <w:lang w:val="en-US" w:eastAsia="zh-CN" w:bidi="ar"/>
              </w:rPr>
            </w:pPr>
            <w:r>
              <w:rPr>
                <w:rStyle w:val="10"/>
                <w:rFonts w:hint="default" w:ascii="Times New Roman" w:hAnsi="Times New Roman" w:cs="Times New Roman"/>
                <w:lang w:val="en-US" w:eastAsia="zh-CN" w:bidi="ar"/>
              </w:rPr>
              <w:t>赛事和活动任务完成</w:t>
            </w:r>
            <w:r>
              <w:rPr>
                <w:rStyle w:val="10"/>
                <w:rFonts w:hint="eastAsia" w:cs="Times New Roman"/>
                <w:lang w:val="en-US" w:eastAsia="zh-CN" w:bidi="ar"/>
              </w:rPr>
              <w:t>及时</w:t>
            </w:r>
            <w:r>
              <w:rPr>
                <w:rStyle w:val="10"/>
                <w:rFonts w:hint="default" w:ascii="Times New Roman" w:hAnsi="Times New Roman" w:cs="Times New Roman"/>
                <w:lang w:val="en-US" w:eastAsia="zh-CN" w:bidi="ar"/>
              </w:rPr>
              <w:t>率</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728C2D62">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90</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0D04B693">
            <w:pPr>
              <w:jc w:val="center"/>
              <w:rPr>
                <w:rFonts w:hint="default" w:eastAsia="宋体" w:cs="Times New Roman"/>
                <w:i w:val="0"/>
                <w:color w:val="auto"/>
                <w:sz w:val="20"/>
                <w:szCs w:val="20"/>
                <w:u w:val="none"/>
                <w:lang w:val="en-US" w:eastAsia="zh-CN"/>
              </w:rPr>
            </w:pPr>
            <w:r>
              <w:rPr>
                <w:rFonts w:hint="eastAsia" w:eastAsia="宋体" w:cs="Times New Roman"/>
                <w:i w:val="0"/>
                <w:color w:val="auto"/>
                <w:sz w:val="20"/>
                <w:szCs w:val="20"/>
                <w:u w:val="none"/>
                <w:lang w:val="en-US" w:eastAsia="zh-CN"/>
              </w:rPr>
              <w:t>100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D5EBBBE">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6054892D">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eastAsia="宋体" w:cs="Times New Roman"/>
                <w:i w:val="0"/>
                <w:color w:val="000000"/>
                <w:kern w:val="0"/>
                <w:sz w:val="20"/>
                <w:szCs w:val="20"/>
                <w:u w:val="none"/>
                <w:lang w:val="en-US" w:eastAsia="zh-CN" w:bidi="ar"/>
              </w:rPr>
              <w:t>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45633912">
            <w:pPr>
              <w:jc w:val="center"/>
              <w:rPr>
                <w:rFonts w:hint="default" w:ascii="Times New Roman" w:hAnsi="Times New Roman" w:eastAsia="宋体" w:cs="Times New Roman"/>
                <w:i w:val="0"/>
                <w:color w:val="000000"/>
                <w:sz w:val="20"/>
                <w:szCs w:val="20"/>
                <w:u w:val="none"/>
              </w:rPr>
            </w:pPr>
          </w:p>
        </w:tc>
      </w:tr>
      <w:tr w14:paraId="2884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20EBADC6">
            <w:pPr>
              <w:jc w:val="center"/>
              <w:rPr>
                <w:rFonts w:hint="default" w:ascii="Times New Roman" w:hAnsi="Times New Roman" w:eastAsia="宋体" w:cs="Times New Roman"/>
                <w:b/>
                <w:i w:val="0"/>
                <w:color w:val="000000"/>
                <w:sz w:val="20"/>
                <w:szCs w:val="20"/>
                <w:u w:val="none"/>
              </w:rPr>
            </w:pPr>
          </w:p>
        </w:tc>
        <w:tc>
          <w:tcPr>
            <w:tcW w:w="1007" w:type="dxa"/>
            <w:gridSpan w:val="2"/>
            <w:vMerge w:val="restart"/>
            <w:tcBorders>
              <w:top w:val="single" w:color="auto" w:sz="4" w:space="0"/>
              <w:left w:val="single" w:color="000000" w:sz="4" w:space="0"/>
              <w:bottom w:val="single" w:color="auto" w:sz="4" w:space="0"/>
              <w:right w:val="single" w:color="000000" w:sz="4" w:space="0"/>
            </w:tcBorders>
            <w:noWrap w:val="0"/>
            <w:vAlign w:val="center"/>
          </w:tcPr>
          <w:p w14:paraId="52D92A5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15分</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3AD57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3C4677BD">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对群众体育可持续发展的影响程度</w:t>
            </w:r>
            <w:r>
              <w:rPr>
                <w:rStyle w:val="10"/>
                <w:rFonts w:hint="eastAsia" w:cs="Times New Roman"/>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分）</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3FAB45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C69C97B">
            <w:pPr>
              <w:jc w:val="center"/>
              <w:rPr>
                <w:rFonts w:hint="eastAsia" w:ascii="Times New Roman" w:hAnsi="Times New Roman" w:eastAsia="宋体" w:cs="Times New Roman"/>
                <w:i w:val="0"/>
                <w:color w:val="FF0000"/>
                <w:sz w:val="20"/>
                <w:szCs w:val="20"/>
                <w:u w:val="none"/>
                <w:lang w:eastAsia="zh-CN"/>
              </w:rPr>
            </w:pPr>
            <w:r>
              <w:rPr>
                <w:rFonts w:hint="eastAsia" w:eastAsia="宋体" w:cs="Times New Roman"/>
                <w:i w:val="0"/>
                <w:color w:val="auto"/>
                <w:sz w:val="20"/>
                <w:szCs w:val="20"/>
                <w:u w:val="none"/>
                <w:lang w:val="en-US" w:eastAsia="zh-CN"/>
              </w:rPr>
              <w:t>9</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8D8A5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7.5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CDF1B2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7.5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4E65433">
            <w:pPr>
              <w:jc w:val="center"/>
              <w:rPr>
                <w:rFonts w:hint="default" w:ascii="Times New Roman" w:hAnsi="Times New Roman" w:eastAsia="宋体" w:cs="Times New Roman"/>
                <w:i w:val="0"/>
                <w:color w:val="000000"/>
                <w:sz w:val="20"/>
                <w:szCs w:val="20"/>
                <w:u w:val="none"/>
              </w:rPr>
            </w:pPr>
          </w:p>
        </w:tc>
      </w:tr>
      <w:tr w14:paraId="5C22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724A5C36">
            <w:pPr>
              <w:jc w:val="center"/>
              <w:rPr>
                <w:rFonts w:hint="default" w:ascii="Times New Roman" w:hAnsi="Times New Roman" w:eastAsia="宋体" w:cs="Times New Roman"/>
                <w:b/>
                <w:i w:val="0"/>
                <w:color w:val="000000"/>
                <w:sz w:val="20"/>
                <w:szCs w:val="20"/>
                <w:u w:val="none"/>
              </w:rPr>
            </w:pPr>
          </w:p>
        </w:tc>
        <w:tc>
          <w:tcPr>
            <w:tcW w:w="1007"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14:paraId="43EBB2AB">
            <w:pPr>
              <w:jc w:val="center"/>
              <w:rPr>
                <w:rFonts w:hint="default" w:ascii="Times New Roman" w:hAnsi="Times New Roman" w:eastAsia="宋体" w:cs="Times New Roman"/>
                <w:i w:val="0"/>
                <w:color w:val="000000"/>
                <w:sz w:val="20"/>
                <w:szCs w:val="20"/>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09F807">
            <w:pPr>
              <w:jc w:val="center"/>
              <w:rPr>
                <w:rFonts w:hint="default" w:ascii="Times New Roman" w:hAnsi="Times New Roman" w:eastAsia="宋体" w:cs="Times New Roman"/>
                <w:i w:val="0"/>
                <w:color w:val="000000"/>
                <w:sz w:val="20"/>
                <w:szCs w:val="20"/>
                <w:u w:val="none"/>
              </w:rPr>
            </w:pP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76AEB696">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对青少年体育可持续发展的影响程度</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分）</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248A74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9</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6D5C405">
            <w:pPr>
              <w:jc w:val="center"/>
              <w:rPr>
                <w:rFonts w:hint="default" w:ascii="Times New Roman" w:hAnsi="Times New Roman" w:eastAsia="宋体" w:cs="Times New Roman"/>
                <w:i w:val="0"/>
                <w:color w:val="auto"/>
                <w:sz w:val="20"/>
                <w:szCs w:val="20"/>
                <w:u w:val="none"/>
              </w:rPr>
            </w:pPr>
            <w:r>
              <w:rPr>
                <w:rFonts w:hint="eastAsia" w:eastAsia="宋体" w:cs="Times New Roman"/>
                <w:i w:val="0"/>
                <w:color w:val="auto"/>
                <w:sz w:val="20"/>
                <w:szCs w:val="20"/>
                <w:u w:val="none"/>
                <w:lang w:val="en-US" w:eastAsia="zh-CN"/>
              </w:rPr>
              <w:t>9</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EDBF5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7.5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2EB8740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7.5</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61DE042C">
            <w:pPr>
              <w:jc w:val="center"/>
              <w:rPr>
                <w:rFonts w:hint="default" w:ascii="Times New Roman" w:hAnsi="Times New Roman" w:eastAsia="宋体" w:cs="Times New Roman"/>
                <w:i w:val="0"/>
                <w:color w:val="000000"/>
                <w:sz w:val="20"/>
                <w:szCs w:val="20"/>
                <w:u w:val="none"/>
              </w:rPr>
            </w:pPr>
          </w:p>
        </w:tc>
      </w:tr>
      <w:tr w14:paraId="460F5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506" w:type="dxa"/>
            <w:vMerge w:val="continue"/>
            <w:tcBorders>
              <w:top w:val="single" w:color="auto" w:sz="4" w:space="0"/>
              <w:left w:val="single" w:color="auto" w:sz="4" w:space="0"/>
              <w:bottom w:val="single" w:color="auto" w:sz="4" w:space="0"/>
              <w:right w:val="single" w:color="000000" w:sz="4" w:space="0"/>
            </w:tcBorders>
            <w:noWrap w:val="0"/>
            <w:textDirection w:val="tbRlV"/>
            <w:vAlign w:val="center"/>
          </w:tcPr>
          <w:p w14:paraId="2DA6C513">
            <w:pPr>
              <w:jc w:val="center"/>
              <w:rPr>
                <w:rFonts w:hint="default" w:ascii="Times New Roman" w:hAnsi="Times New Roman" w:eastAsia="宋体" w:cs="Times New Roman"/>
                <w:b/>
                <w:i w:val="0"/>
                <w:color w:val="000000"/>
                <w:sz w:val="20"/>
                <w:szCs w:val="20"/>
                <w:u w:val="none"/>
              </w:rPr>
            </w:pPr>
          </w:p>
        </w:tc>
        <w:tc>
          <w:tcPr>
            <w:tcW w:w="1007" w:type="dxa"/>
            <w:gridSpan w:val="2"/>
            <w:tcBorders>
              <w:top w:val="single" w:color="auto" w:sz="4" w:space="0"/>
              <w:left w:val="single" w:color="000000" w:sz="4" w:space="0"/>
              <w:bottom w:val="single" w:color="000000" w:sz="4" w:space="0"/>
              <w:right w:val="single" w:color="000000" w:sz="4" w:space="0"/>
            </w:tcBorders>
            <w:noWrap w:val="0"/>
            <w:vAlign w:val="center"/>
          </w:tcPr>
          <w:p w14:paraId="2AD4906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满意度指标5分</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14:paraId="0449DA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1707" w:type="dxa"/>
            <w:tcBorders>
              <w:top w:val="single" w:color="000000" w:sz="4" w:space="0"/>
              <w:left w:val="single" w:color="000000" w:sz="4" w:space="0"/>
              <w:bottom w:val="single" w:color="000000" w:sz="4" w:space="0"/>
              <w:right w:val="single" w:color="000000" w:sz="4" w:space="0"/>
            </w:tcBorders>
            <w:noWrap w:val="0"/>
            <w:vAlign w:val="center"/>
          </w:tcPr>
          <w:p w14:paraId="6F5F2587">
            <w:pPr>
              <w:keepNext w:val="0"/>
              <w:keepLines w:val="0"/>
              <w:widowControl/>
              <w:suppressLineNumbers w:val="0"/>
              <w:jc w:val="center"/>
              <w:textAlignment w:val="center"/>
              <w:rPr>
                <w:rFonts w:hint="default" w:ascii="Times New Roman" w:hAnsi="Times New Roman" w:eastAsia="MingLiU" w:cs="Times New Roman"/>
                <w:i w:val="0"/>
                <w:color w:val="000000"/>
                <w:sz w:val="18"/>
                <w:szCs w:val="18"/>
                <w:u w:val="none"/>
              </w:rPr>
            </w:pPr>
            <w:r>
              <w:rPr>
                <w:rStyle w:val="10"/>
                <w:rFonts w:hint="default" w:ascii="Times New Roman" w:hAnsi="Times New Roman" w:cs="Times New Roman"/>
                <w:lang w:val="en-US" w:eastAsia="zh-CN" w:bidi="ar"/>
              </w:rPr>
              <w:t>服务对象满意度</w:t>
            </w:r>
            <w:r>
              <w:rPr>
                <w:rStyle w:val="10"/>
                <w:rFonts w:hint="eastAsia" w:cs="Times New Roman"/>
                <w:lang w:val="en-US" w:eastAsia="zh-CN" w:bidi="ar"/>
              </w:rPr>
              <w:t>（</w:t>
            </w:r>
            <w:r>
              <w:rPr>
                <w:rFonts w:hint="default" w:ascii="Times New Roman" w:hAnsi="Times New Roman" w:eastAsia="宋体" w:cs="Times New Roman"/>
                <w:i w:val="0"/>
                <w:color w:val="000000"/>
                <w:kern w:val="0"/>
                <w:sz w:val="20"/>
                <w:szCs w:val="20"/>
                <w:u w:val="none"/>
                <w:lang w:val="en-US" w:eastAsia="zh-CN" w:bidi="ar"/>
              </w:rPr>
              <w:t>≥%</w:t>
            </w:r>
            <w:r>
              <w:rPr>
                <w:rFonts w:hint="eastAsia" w:eastAsia="宋体" w:cs="Times New Roman"/>
                <w:i w:val="0"/>
                <w:color w:val="000000"/>
                <w:kern w:val="0"/>
                <w:sz w:val="20"/>
                <w:szCs w:val="20"/>
                <w:u w:val="none"/>
                <w:lang w:val="en-US" w:eastAsia="zh-CN" w:bidi="ar"/>
              </w:rPr>
              <w:t>）</w:t>
            </w:r>
          </w:p>
        </w:tc>
        <w:tc>
          <w:tcPr>
            <w:tcW w:w="2203" w:type="dxa"/>
            <w:tcBorders>
              <w:top w:val="single" w:color="000000" w:sz="4" w:space="0"/>
              <w:left w:val="single" w:color="000000" w:sz="4" w:space="0"/>
              <w:bottom w:val="single" w:color="000000" w:sz="4" w:space="0"/>
              <w:right w:val="single" w:color="000000" w:sz="4" w:space="0"/>
            </w:tcBorders>
            <w:noWrap w:val="0"/>
            <w:vAlign w:val="center"/>
          </w:tcPr>
          <w:p w14:paraId="3D42605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90</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E2CCB12">
            <w:pPr>
              <w:jc w:val="center"/>
              <w:rPr>
                <w:rFonts w:hint="default" w:ascii="Times New Roman" w:hAnsi="Times New Roman" w:eastAsia="宋体" w:cs="Times New Roman"/>
                <w:i w:val="0"/>
                <w:color w:val="auto"/>
                <w:sz w:val="20"/>
                <w:szCs w:val="20"/>
                <w:u w:val="none"/>
                <w:lang w:val="en-US" w:eastAsia="zh-CN"/>
              </w:rPr>
            </w:pPr>
            <w:r>
              <w:rPr>
                <w:rFonts w:hint="eastAsia" w:eastAsia="宋体" w:cs="Times New Roman"/>
                <w:i w:val="0"/>
                <w:color w:val="auto"/>
                <w:sz w:val="20"/>
                <w:szCs w:val="20"/>
                <w:u w:val="none"/>
                <w:lang w:val="en-US" w:eastAsia="zh-CN"/>
              </w:rPr>
              <w:t>87.95</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483018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eastAsia="宋体" w:cs="Times New Roman"/>
                <w:i w:val="0"/>
                <w:color w:val="000000"/>
                <w:kern w:val="0"/>
                <w:sz w:val="20"/>
                <w:szCs w:val="20"/>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6915DD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eastAsia" w:eastAsia="宋体" w:cs="Times New Roman"/>
                <w:i w:val="0"/>
                <w:color w:val="000000"/>
                <w:sz w:val="20"/>
                <w:szCs w:val="20"/>
                <w:u w:val="none"/>
                <w:lang w:val="en-US" w:eastAsia="zh-CN"/>
              </w:rPr>
              <w:t>4.89</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5E49CA93">
            <w:pPr>
              <w:jc w:val="left"/>
              <w:rPr>
                <w:rFonts w:hint="eastAsia" w:eastAsia="宋体" w:cs="Times New Roman"/>
                <w:i w:val="0"/>
                <w:color w:val="000000"/>
                <w:sz w:val="20"/>
                <w:szCs w:val="20"/>
                <w:u w:val="none"/>
                <w:lang w:eastAsia="zh-CN"/>
              </w:rPr>
            </w:pPr>
            <w:r>
              <w:rPr>
                <w:rFonts w:hint="eastAsia" w:eastAsia="宋体" w:cs="Times New Roman"/>
                <w:i w:val="0"/>
                <w:color w:val="000000"/>
                <w:sz w:val="20"/>
                <w:szCs w:val="20"/>
                <w:u w:val="none"/>
                <w:lang w:eastAsia="zh-CN"/>
              </w:rPr>
              <w:t>未完成原因</w:t>
            </w:r>
            <w:r>
              <w:rPr>
                <w:rFonts w:hint="default" w:ascii="Times New Roman" w:hAnsi="Times New Roman" w:eastAsia="宋体" w:cs="Times New Roman"/>
                <w:i w:val="0"/>
                <w:color w:val="000000"/>
                <w:sz w:val="20"/>
                <w:szCs w:val="20"/>
                <w:u w:val="none"/>
              </w:rPr>
              <w:t>：2023年通过结合国民体质监测活动进行发放问卷调查填报，经收集统计，服务对象满意度≥85.89%，个别认为有些赛事活动宣传氛围不</w:t>
            </w:r>
            <w:r>
              <w:rPr>
                <w:rFonts w:hint="eastAsia" w:eastAsia="宋体" w:cs="Times New Roman"/>
                <w:i w:val="0"/>
                <w:color w:val="000000"/>
                <w:sz w:val="20"/>
                <w:szCs w:val="20"/>
                <w:u w:val="none"/>
                <w:lang w:eastAsia="zh-CN"/>
              </w:rPr>
              <w:t>够</w:t>
            </w:r>
            <w:r>
              <w:rPr>
                <w:rFonts w:hint="default" w:ascii="Times New Roman" w:hAnsi="Times New Roman" w:eastAsia="宋体" w:cs="Times New Roman"/>
                <w:i w:val="0"/>
                <w:color w:val="000000"/>
                <w:sz w:val="20"/>
                <w:szCs w:val="20"/>
                <w:u w:val="none"/>
              </w:rPr>
              <w:t>浓郁</w:t>
            </w:r>
            <w:r>
              <w:rPr>
                <w:rFonts w:hint="eastAsia" w:eastAsia="宋体" w:cs="Times New Roman"/>
                <w:i w:val="0"/>
                <w:color w:val="000000"/>
                <w:sz w:val="20"/>
                <w:szCs w:val="20"/>
                <w:u w:val="none"/>
                <w:lang w:eastAsia="zh-CN"/>
              </w:rPr>
              <w:t>。</w:t>
            </w:r>
          </w:p>
          <w:p w14:paraId="6C02500B">
            <w:pPr>
              <w:jc w:val="left"/>
              <w:rPr>
                <w:rFonts w:hint="eastAsia" w:ascii="Times New Roman" w:hAnsi="Times New Roman" w:eastAsia="宋体" w:cs="Times New Roman"/>
                <w:i w:val="0"/>
                <w:color w:val="000000"/>
                <w:sz w:val="20"/>
                <w:szCs w:val="20"/>
                <w:u w:val="none"/>
                <w:lang w:eastAsia="zh-CN"/>
              </w:rPr>
            </w:pPr>
            <w:r>
              <w:rPr>
                <w:rFonts w:hint="eastAsia" w:eastAsia="宋体" w:cs="Times New Roman"/>
                <w:i w:val="0"/>
                <w:color w:val="000000"/>
                <w:sz w:val="20"/>
                <w:szCs w:val="20"/>
                <w:u w:val="none"/>
                <w:lang w:val="en-US" w:eastAsia="zh-CN"/>
              </w:rPr>
              <w:t xml:space="preserve"> </w:t>
            </w:r>
            <w:r>
              <w:rPr>
                <w:rFonts w:hint="eastAsia" w:eastAsia="宋体" w:cs="Times New Roman"/>
                <w:i w:val="0"/>
                <w:color w:val="000000"/>
                <w:sz w:val="20"/>
                <w:szCs w:val="20"/>
                <w:u w:val="none"/>
                <w:lang w:eastAsia="zh-CN"/>
              </w:rPr>
              <w:t>改进措施：2024年继续做好体育赛事服务，利用赛事平台开展更多的配套活动，丰富活动内容，提高群众的幸福感、获得感、满足感、。</w:t>
            </w:r>
          </w:p>
        </w:tc>
      </w:tr>
      <w:tr w14:paraId="61F1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86" w:type="dxa"/>
            <w:gridSpan w:val="7"/>
            <w:tcBorders>
              <w:top w:val="single" w:color="000000" w:sz="4" w:space="0"/>
              <w:left w:val="single" w:color="000000" w:sz="4" w:space="0"/>
              <w:bottom w:val="single" w:color="000000" w:sz="4" w:space="0"/>
              <w:right w:val="single" w:color="000000" w:sz="4" w:space="0"/>
            </w:tcBorders>
            <w:noWrap w:val="0"/>
            <w:vAlign w:val="center"/>
          </w:tcPr>
          <w:p w14:paraId="3AF28C48">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00D5F73B">
            <w:pPr>
              <w:jc w:val="center"/>
              <w:rPr>
                <w:rFonts w:hint="default" w:eastAsia="宋体" w:cs="Times New Roman"/>
                <w:b/>
                <w:bCs/>
                <w:i w:val="0"/>
                <w:color w:val="auto"/>
                <w:sz w:val="20"/>
                <w:szCs w:val="20"/>
                <w:u w:val="none"/>
                <w:lang w:val="en-US" w:eastAsia="zh-CN"/>
              </w:rPr>
            </w:pPr>
            <w:r>
              <w:rPr>
                <w:rFonts w:hint="default" w:eastAsia="宋体" w:cs="Times New Roman"/>
                <w:b/>
                <w:bCs/>
                <w:i w:val="0"/>
                <w:color w:val="auto"/>
                <w:sz w:val="20"/>
                <w:szCs w:val="20"/>
                <w:u w:val="none"/>
                <w:lang w:val="en-US" w:eastAsia="zh-CN"/>
              </w:rPr>
              <w:t>50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5285028B">
            <w:pPr>
              <w:jc w:val="center"/>
              <w:rPr>
                <w:rFonts w:hint="default" w:eastAsia="宋体" w:cs="Times New Roman"/>
                <w:b/>
                <w:bCs/>
                <w:i w:val="0"/>
                <w:color w:val="auto"/>
                <w:sz w:val="20"/>
                <w:szCs w:val="20"/>
                <w:u w:val="none"/>
                <w:lang w:val="en-US" w:eastAsia="zh-CN"/>
              </w:rPr>
            </w:pPr>
            <w:r>
              <w:rPr>
                <w:rFonts w:hint="default" w:eastAsia="宋体" w:cs="Times New Roman"/>
                <w:b/>
                <w:bCs/>
                <w:i w:val="0"/>
                <w:color w:val="auto"/>
                <w:sz w:val="20"/>
                <w:szCs w:val="20"/>
                <w:u w:val="none"/>
                <w:lang w:val="en-US" w:eastAsia="zh-CN"/>
              </w:rPr>
              <w:t>49.89</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01E8382E">
            <w:pPr>
              <w:jc w:val="center"/>
              <w:rPr>
                <w:rFonts w:hint="default" w:ascii="Times New Roman" w:hAnsi="Times New Roman" w:eastAsia="宋体" w:cs="Times New Roman"/>
                <w:b/>
                <w:bCs/>
                <w:i w:val="0"/>
                <w:color w:val="000000"/>
                <w:sz w:val="20"/>
                <w:szCs w:val="20"/>
                <w:u w:val="none"/>
              </w:rPr>
            </w:pPr>
          </w:p>
        </w:tc>
      </w:tr>
      <w:tr w14:paraId="45DB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86" w:type="dxa"/>
            <w:gridSpan w:val="7"/>
            <w:tcBorders>
              <w:top w:val="single" w:color="000000" w:sz="4" w:space="0"/>
              <w:left w:val="single" w:color="000000" w:sz="4" w:space="0"/>
              <w:bottom w:val="single" w:color="000000" w:sz="4" w:space="0"/>
              <w:right w:val="single" w:color="000000" w:sz="4" w:space="0"/>
            </w:tcBorders>
            <w:noWrap w:val="0"/>
            <w:vAlign w:val="center"/>
          </w:tcPr>
          <w:p w14:paraId="3D707F9E">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总分</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5BE7572F">
            <w:pPr>
              <w:jc w:val="center"/>
              <w:rPr>
                <w:rFonts w:hint="default" w:eastAsia="宋体" w:cs="Times New Roman"/>
                <w:b/>
                <w:bCs/>
                <w:i w:val="0"/>
                <w:color w:val="auto"/>
                <w:sz w:val="20"/>
                <w:szCs w:val="20"/>
                <w:u w:val="none"/>
                <w:lang w:val="en-US" w:eastAsia="zh-CN"/>
              </w:rPr>
            </w:pPr>
            <w:r>
              <w:rPr>
                <w:rFonts w:hint="default" w:eastAsia="宋体" w:cs="Times New Roman"/>
                <w:b/>
                <w:bCs/>
                <w:i w:val="0"/>
                <w:color w:val="auto"/>
                <w:sz w:val="20"/>
                <w:szCs w:val="20"/>
                <w:u w:val="none"/>
                <w:lang w:val="en-US" w:eastAsia="zh-CN"/>
              </w:rPr>
              <w:t>100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3C679E10">
            <w:pPr>
              <w:jc w:val="center"/>
              <w:rPr>
                <w:rFonts w:hint="default" w:eastAsia="宋体" w:cs="Times New Roman"/>
                <w:b/>
                <w:bCs/>
                <w:i w:val="0"/>
                <w:color w:val="auto"/>
                <w:sz w:val="20"/>
                <w:szCs w:val="20"/>
                <w:u w:val="none"/>
                <w:lang w:val="en-US" w:eastAsia="zh-CN"/>
              </w:rPr>
            </w:pPr>
            <w:r>
              <w:rPr>
                <w:rFonts w:hint="eastAsia" w:eastAsia="宋体" w:cs="Times New Roman"/>
                <w:b/>
                <w:bCs/>
                <w:i w:val="0"/>
                <w:color w:val="auto"/>
                <w:sz w:val="20"/>
                <w:szCs w:val="20"/>
                <w:u w:val="none"/>
                <w:lang w:val="en-US" w:eastAsia="zh-CN"/>
              </w:rPr>
              <w:t>91.4</w:t>
            </w:r>
          </w:p>
        </w:tc>
        <w:tc>
          <w:tcPr>
            <w:tcW w:w="2956" w:type="dxa"/>
            <w:tcBorders>
              <w:top w:val="single" w:color="000000" w:sz="4" w:space="0"/>
              <w:left w:val="single" w:color="000000" w:sz="4" w:space="0"/>
              <w:bottom w:val="single" w:color="000000" w:sz="4" w:space="0"/>
              <w:right w:val="single" w:color="000000" w:sz="4" w:space="0"/>
            </w:tcBorders>
            <w:noWrap w:val="0"/>
            <w:vAlign w:val="center"/>
          </w:tcPr>
          <w:p w14:paraId="694803D1">
            <w:pPr>
              <w:jc w:val="center"/>
              <w:rPr>
                <w:rFonts w:hint="default" w:ascii="Times New Roman" w:hAnsi="Times New Roman" w:eastAsia="宋体" w:cs="Times New Roman"/>
                <w:b/>
                <w:bCs/>
                <w:i w:val="0"/>
                <w:color w:val="000000"/>
                <w:sz w:val="20"/>
                <w:szCs w:val="20"/>
                <w:u w:val="none"/>
              </w:rPr>
            </w:pPr>
          </w:p>
        </w:tc>
      </w:tr>
      <w:tr w14:paraId="48CD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3" w:hRule="atLeast"/>
        </w:trPr>
        <w:tc>
          <w:tcPr>
            <w:tcW w:w="12816" w:type="dxa"/>
            <w:gridSpan w:val="10"/>
            <w:tcBorders>
              <w:top w:val="single" w:color="000000" w:sz="4" w:space="0"/>
              <w:left w:val="single" w:color="000000" w:sz="4" w:space="0"/>
              <w:bottom w:val="single" w:color="000000" w:sz="4" w:space="0"/>
              <w:right w:val="single" w:color="000000" w:sz="4" w:space="0"/>
            </w:tcBorders>
            <w:noWrap w:val="0"/>
            <w:vAlign w:val="center"/>
          </w:tcPr>
          <w:p w14:paraId="16720FB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注：</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1.自评表总分共计100分。其中：预算投入情况10分，资金管理情况40分，绩效指标分值50分（包括产出指标30分、效益指标15分、满意度指标5分），各单位根据项目情况细化设定各三级指标分值。</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2.“全年预算数”为各项目对应全年批复预算数。</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3.“全年执行数”是指按照国库集中支付制度要求，支付到商品和劳务供应者或用款单位形成的实际支出，金额应与所提供专项资金支出明细账及支付凭证相符。</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4.“其他资金”包括与中央财政资金、地方财政资金共同投入到同一项目的自有资金、社会资金，以及以前年度的结转结余资金等。</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5.“预算执行率”如不足100%，需填报“未完成原因和改进措施”。</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6.资金管理情况参考通知正文相应说明。</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7.年度总体目标中预期目标及实际完成情况据实填写，简要概括该项目当年目标及完成情况。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8.“绩效指标”中“三级指标”及“年度指标值”，应以项目申报时的绩效目标表、项目绩效目标执行计划表为准。</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9.“绩效指标”中“实际完成值”应对照年度指标值据实填写完成情况，如未完成，需逐项填报“未完成原因和改进措施”。</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10.“绩效指标”中“得分”根据以下原则进行评分：</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（1）自评采用定量与定性评价相结合的比较法，总分由各项指标得分汇总形成。</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定量指标得分按照以下方法评定：与年初指标值相比，完成指标值的，得分为该指标所赋全部分值；对完成值高于指标值较多的，要分析原因并适度扣分；若是由于年初指标值设定明显偏低造成的，要按照偏离度适度扣分；未完成指标值的，按照完成值与指标值的比例计算得分。如涉及市、区级自评结果汇总，绝对值直接累加计算，相对值按照资金额度加权平均计算。</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定性指标得分按照以下方法评定：根据完成情况分为好、较好、一般、较差四档，资金使用单位在相应档次内分别按照90%（含）—100%、80%（含）—90%、60%（含）—80%、0%—60%（较差）合理填写实际完成值。各省级体育行政部门汇总时，以资金额度为权重加权平均计算分值。</w:t>
            </w:r>
          </w:p>
        </w:tc>
      </w:tr>
    </w:tbl>
    <w:p w14:paraId="4E685685">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Times New Roman" w:hAnsi="Times New Roman" w:cs="Times New Roman"/>
          <w:color w:val="auto"/>
          <w:sz w:val="32"/>
          <w:szCs w:val="32"/>
          <w:lang w:val="en-US" w:eastAsia="zh-CN"/>
        </w:rPr>
        <w:sectPr>
          <w:pgSz w:w="16838" w:h="11906" w:orient="landscape"/>
          <w:pgMar w:top="1531" w:right="1928" w:bottom="1531" w:left="1531" w:header="851" w:footer="992" w:gutter="0"/>
          <w:pgNumType w:fmt="decimal"/>
          <w:cols w:space="720" w:num="1"/>
          <w:docGrid w:type="lines" w:linePitch="312" w:charSpace="0"/>
        </w:sectPr>
      </w:pPr>
    </w:p>
    <w:p w14:paraId="76ABBB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201FEB5-833A-44EC-9EB9-AF3A1371D6B1}"/>
  </w:font>
  <w:font w:name="仿宋_GB2312">
    <w:panose1 w:val="02010609030101010101"/>
    <w:charset w:val="86"/>
    <w:family w:val="modern"/>
    <w:pitch w:val="default"/>
    <w:sig w:usb0="00000001" w:usb1="080E0000" w:usb2="00000000" w:usb3="00000000" w:csb0="00040000" w:csb1="00000000"/>
    <w:embedRegular r:id="rId2" w:fontKey="{19415BA2-9B32-4FCD-9806-8E60B90C3072}"/>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00"/>
    <w:family w:val="auto"/>
    <w:pitch w:val="default"/>
    <w:sig w:usb0="00000000" w:usb1="00000000" w:usb2="00000016" w:usb3="00000000" w:csb0="00100001" w:csb1="00000000"/>
    <w:embedRegular r:id="rId3" w:fontKey="{30632026-9A29-4C55-BA6B-89427CFB68BE}"/>
  </w:font>
  <w:font w:name="方正小标宋_GBK">
    <w:panose1 w:val="02000000000000000000"/>
    <w:charset w:val="86"/>
    <w:family w:val="auto"/>
    <w:pitch w:val="default"/>
    <w:sig w:usb0="A00002BF" w:usb1="38CF7CFA" w:usb2="00082016" w:usb3="00000000" w:csb0="00040001" w:csb1="00000000"/>
    <w:embedRegular r:id="rId4" w:fontKey="{00AE24BD-DC7B-403F-A3B5-69FF446E41DF}"/>
  </w:font>
  <w:font w:name="方正小标宋简体">
    <w:panose1 w:val="03000509000000000000"/>
    <w:charset w:val="86"/>
    <w:family w:val="auto"/>
    <w:pitch w:val="default"/>
    <w:sig w:usb0="00000001" w:usb1="080E0000" w:usb2="00000000" w:usb3="00000000" w:csb0="00040000" w:csb1="00000000"/>
    <w:embedRegular r:id="rId5" w:fontKey="{26AF6C3E-E539-43D3-87F3-12C9DE8CA452}"/>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57002CBD"/>
    <w:rsid w:val="57002CBD"/>
    <w:rsid w:val="667E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签发人"/>
    <w:qFormat/>
    <w:uiPriority w:val="0"/>
    <w:pPr>
      <w:widowControl w:val="0"/>
      <w:jc w:val="both"/>
    </w:pPr>
    <w:rPr>
      <w:rFonts w:ascii="Times New Roman" w:hAnsi="Times New Roman" w:eastAsia="楷体" w:cs="仿宋_GB2312"/>
      <w:kern w:val="2"/>
      <w:sz w:val="32"/>
      <w:szCs w:val="3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21"/>
    <w:basedOn w:val="5"/>
    <w:qFormat/>
    <w:uiPriority w:val="0"/>
    <w:rPr>
      <w:rFonts w:hint="eastAsia" w:ascii="宋体" w:hAnsi="宋体" w:eastAsia="宋体" w:cs="宋体"/>
      <w:b/>
      <w:color w:val="000000"/>
      <w:sz w:val="20"/>
      <w:szCs w:val="20"/>
      <w:u w:val="none"/>
    </w:rPr>
  </w:style>
  <w:style w:type="character" w:customStyle="1" w:styleId="7">
    <w:name w:val="font71"/>
    <w:basedOn w:val="5"/>
    <w:qFormat/>
    <w:uiPriority w:val="0"/>
    <w:rPr>
      <w:rFonts w:hint="eastAsia" w:ascii="宋体" w:hAnsi="宋体" w:eastAsia="宋体" w:cs="宋体"/>
      <w:b/>
      <w:color w:val="000000"/>
      <w:sz w:val="20"/>
      <w:szCs w:val="20"/>
      <w:u w:val="none"/>
    </w:rPr>
  </w:style>
  <w:style w:type="character" w:customStyle="1" w:styleId="8">
    <w:name w:val="font51"/>
    <w:basedOn w:val="5"/>
    <w:qFormat/>
    <w:uiPriority w:val="0"/>
    <w:rPr>
      <w:rFonts w:hint="eastAsia" w:ascii="宋体" w:hAnsi="宋体" w:eastAsia="宋体" w:cs="宋体"/>
      <w:b/>
      <w:color w:val="000000"/>
      <w:sz w:val="20"/>
      <w:szCs w:val="20"/>
      <w:u w:val="none"/>
    </w:rPr>
  </w:style>
  <w:style w:type="character" w:customStyle="1" w:styleId="9">
    <w:name w:val="font91"/>
    <w:basedOn w:val="5"/>
    <w:qFormat/>
    <w:uiPriority w:val="0"/>
    <w:rPr>
      <w:rFonts w:hint="eastAsia" w:ascii="宋体" w:hAnsi="宋体" w:eastAsia="宋体" w:cs="宋体"/>
      <w:b/>
      <w:color w:val="000000"/>
      <w:sz w:val="18"/>
      <w:szCs w:val="18"/>
      <w:u w:val="none"/>
    </w:rPr>
  </w:style>
  <w:style w:type="character" w:customStyle="1" w:styleId="10">
    <w:name w:val="font121"/>
    <w:basedOn w:val="5"/>
    <w:qFormat/>
    <w:uiPriority w:val="0"/>
    <w:rPr>
      <w:rFonts w:hint="default" w:ascii="MingLiU" w:hAnsi="MingLiU" w:eastAsia="MingLiU" w:cs="MingLiU"/>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2864</Words>
  <Characters>3129</Characters>
  <Lines>0</Lines>
  <Paragraphs>0</Paragraphs>
  <TotalTime>0</TotalTime>
  <ScaleCrop>false</ScaleCrop>
  <LinksUpToDate>false</LinksUpToDate>
  <CharactersWithSpaces>3167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2024-10-16T08:50:00Z</dcterms:created>
  <dc:creator>路过蜻蜓</dc:creator>
  <cp:lastModifiedBy>路过蜻蜓</cp:lastModifiedBy>
  <dcterms:modified xsi:type="dcterms:W3CDTF">2024-10-16T08:58:44Z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8FF37489349E4D199DA9D816C3D1F333_11</vt:lpwstr>
  </property>
</Properties>
</file>