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84"/>
        </w:tabs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tabs>
          <w:tab w:val="left" w:pos="7584"/>
        </w:tabs>
        <w:rPr>
          <w:rFonts w:hint="eastAsia" w:ascii="黑体" w:hAnsi="黑体" w:eastAsia="黑体" w:cs="黑体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20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年度宣传工作目标管理绩效考核评分细则</w:t>
      </w:r>
    </w:p>
    <w:p>
      <w:pPr>
        <w:spacing w:line="560" w:lineRule="exact"/>
        <w:jc w:val="center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（</w:t>
      </w:r>
      <w:r>
        <w:rPr>
          <w:rFonts w:hint="eastAsia" w:ascii="仿宋_GB2312" w:hAnsi="仿宋_GB2312" w:cs="仿宋_GB2312"/>
        </w:rPr>
        <w:t>各市体育</w:t>
      </w:r>
      <w:r>
        <w:rPr>
          <w:rFonts w:hint="eastAsia" w:ascii="仿宋_GB2312" w:hAnsi="仿宋_GB2312" w:cs="仿宋_GB2312"/>
          <w:lang w:eastAsia="zh-CN"/>
        </w:rPr>
        <w:t>行政主管部门</w:t>
      </w:r>
      <w:r>
        <w:rPr>
          <w:rFonts w:hint="eastAsia" w:ascii="仿宋_GB2312" w:hAnsi="仿宋_GB2312" w:cs="仿宋_GB2312"/>
          <w:color w:val="000000"/>
          <w:kern w:val="0"/>
          <w:lang w:bidi="ar"/>
        </w:rPr>
        <w:t>、机关各处室、各直属单位）</w:t>
      </w:r>
    </w:p>
    <w:tbl>
      <w:tblPr>
        <w:tblStyle w:val="5"/>
        <w:tblpPr w:leftFromText="180" w:rightFromText="180" w:vertAnchor="text" w:horzAnchor="page" w:tblpX="1803" w:tblpY="607"/>
        <w:tblOverlap w:val="never"/>
        <w:tblW w:w="1312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7"/>
        <w:gridCol w:w="1888"/>
        <w:gridCol w:w="842"/>
        <w:gridCol w:w="4813"/>
        <w:gridCol w:w="1948"/>
        <w:gridCol w:w="173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工作项目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考核内容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分值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评分标准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完成时限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考核处室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6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体育宣传工作</w:t>
            </w:r>
          </w:p>
        </w:tc>
        <w:tc>
          <w:tcPr>
            <w:tcW w:w="18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完成自治区体育局下达的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2020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年度宣传上稿任务量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完成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各级媒体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年度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上稿任务量得分，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中央（国家级）媒体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得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2分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、自治区级媒体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得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2分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、市级媒体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得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2分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、国家体育总局网站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得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1分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、自治区体育局官网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得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2分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、微信公众号得1分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未完成单项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年度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上稿任务量的，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实际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完成量少于该单项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年度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上稿任务量60%的，则该单项不得分；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实际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完成量超过该单项上稿任务量60%的，则该单项按照完成比率进行计分。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12月31日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自治区体育局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办公室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2020-08-06T08:02:36Z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