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年度宣传工作目标管理绩效考核加分细则</w:t>
      </w:r>
    </w:p>
    <w:p>
      <w:pPr>
        <w:spacing w:line="560" w:lineRule="exact"/>
        <w:jc w:val="center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（</w:t>
      </w:r>
      <w:r>
        <w:rPr>
          <w:rFonts w:hint="eastAsia" w:ascii="仿宋_GB2312" w:hAnsi="仿宋_GB2312" w:cs="仿宋_GB2312"/>
        </w:rPr>
        <w:t>各市体育</w:t>
      </w:r>
      <w:r>
        <w:rPr>
          <w:rFonts w:hint="eastAsia" w:ascii="仿宋_GB2312" w:hAnsi="仿宋_GB2312" w:cs="仿宋_GB2312"/>
          <w:lang w:eastAsia="zh-CN"/>
        </w:rPr>
        <w:t>行政主管部门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）</w:t>
      </w:r>
    </w:p>
    <w:tbl>
      <w:tblPr>
        <w:tblStyle w:val="3"/>
        <w:tblW w:w="13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4"/>
        <w:gridCol w:w="1959"/>
        <w:gridCol w:w="8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拟设加分值</w:t>
            </w:r>
          </w:p>
        </w:tc>
        <w:tc>
          <w:tcPr>
            <w:tcW w:w="8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加分细则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体育宣传工作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（1）在完成各级媒体年度上稿任务量基础上，单项超额完成25%的加0.1分，超额完成50%加0.15分，超额完成75%加0.2分，超额完成100%以上的加0.3分。累计不超过1.8分；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（2）工作获得国家部委、自治区级政府批示肯定的；工作经验获得以国家部委、自治区政府的名义印发文件推广，或来文致函通报表扬的，每项加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分，最高不超过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（3）在全国性工作会议、国家部委工作会议、自治区级工作会议上作宣传经验介绍发言的；宣传工作经验获得以国家部委、自治区名义召开现场会予以推广的，每项加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分，最高不超过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（4）创新形式和手段，深入开展宣传,通过与新闻单位合作，推出专刊、专版、专栏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、专题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报道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的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，每一项加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（5）开展重大赛事宣传，能协调自治区党委、政府发动力量组织宣传，召开新闻发布会，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赛前、赛中、赛后都有宣传报道，并且效果明显的，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每次加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（6）围绕体育中心工作，主动策划、举办具有明确主题和深度，具备一定规模的宣传活动；或自主开展本部门体育文化活动，如特色传统体育项目的传承和保护工作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体育文化类活动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，效果明显的，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每次加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（7）对体育宣传事业做出突出贡献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的（由自治区体育局评定），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每项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（8）最高加分值总计不超过3分。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2020-08-06T08:03:01Z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