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  <w:t>年度宣传工作目标管理绩效考核加分细则</w:t>
      </w:r>
    </w:p>
    <w:p>
      <w:pPr>
        <w:spacing w:line="560" w:lineRule="exact"/>
        <w:jc w:val="center"/>
        <w:rPr>
          <w:rFonts w:hint="eastAsia"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（机关各处室、各直属单位）</w:t>
      </w:r>
    </w:p>
    <w:tbl>
      <w:tblPr>
        <w:tblStyle w:val="3"/>
        <w:tblW w:w="131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4"/>
        <w:gridCol w:w="1958"/>
        <w:gridCol w:w="8734"/>
      </w:tblGrid>
      <w:tr>
        <w:tblPrEx>
          <w:tblLayout w:type="fixed"/>
        </w:tblPrEx>
        <w:trPr>
          <w:trHeight w:val="366" w:hRule="atLeast"/>
        </w:trPr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指标名称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拟设加分值</w:t>
            </w:r>
          </w:p>
        </w:tc>
        <w:tc>
          <w:tcPr>
            <w:tcW w:w="8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加分细则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方正书宋_GBK" w:cs="方正书宋_GBK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体育宣传工作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（1）在完成各级媒体年度上稿任务量基础上，单项超额完成25%的加0.1分，超额完成50%加0.15分，超额完成75%加0.2分，超额完成100%以上的加0.3分。累计不超过1.8分；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（2）宣传工作获得国家部委、自治区级政府批示肯定的；宣传工作经验获得以国家部委、自治区政府的名义印发文件推广，或来文致函通报表扬的，每项加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分，最高不超过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0.24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（3）在全国性工作会议、国家部委工作会议、自治区级工作会议上作宣传经验介绍发言的；宣传工作经验获得以国家部委、自治区名义召开现场会予以推广的，每项加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分，最高不超过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0.24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（4）创新形式和手段，深入开展宣传,通过与新闻单位合作，推出专刊、专版、专栏、专题报道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的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，每一项加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分，累计不超过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0.24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（5）围绕体育中心工作，主动策划、举办具有明确主题和深度，具备一定规模的宣传活动；或自主开展本部门体育文化活动，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效果明显的，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每次加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分，累计不超过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0.24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（6）对体育宣传事业做出突出贡献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（由自治区体育局评定）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。每项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0.12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分，累计不超过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0.24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bidi="ar"/>
              </w:rPr>
              <w:t>分。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最高加分值总计不超过3分。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6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2020-08-06T08:04:11Z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