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 w:beforeAutospacing="0" w:after="24" w:afterAutospacing="0" w:line="560" w:lineRule="exact"/>
        <w:ind w:right="0"/>
        <w:textAlignment w:val="auto"/>
        <w:rPr>
          <w:rFonts w:hint="eastAsia" w:ascii="CESI黑体-GB2312" w:hAnsi="CESI黑体-GB2312" w:eastAsia="CESI黑体-GB2312" w:cs="CESI黑体-GB2312"/>
          <w:b w:val="0"/>
          <w:bCs w:val="0"/>
          <w:i w:val="0"/>
          <w:iCs w:val="0"/>
          <w:caps w:val="0"/>
          <w:color w:val="auto"/>
          <w:spacing w:val="0"/>
          <w:sz w:val="28"/>
          <w:szCs w:val="28"/>
        </w:rPr>
      </w:pPr>
      <w:r>
        <w:rPr>
          <w:rFonts w:hint="eastAsia" w:ascii="CESI黑体-GB2312" w:hAnsi="CESI黑体-GB2312" w:eastAsia="CESI黑体-GB2312" w:cs="CESI黑体-GB2312"/>
          <w:b w:val="0"/>
          <w:bCs w:val="0"/>
          <w:i w:val="0"/>
          <w:iCs w:val="0"/>
          <w:caps w:val="0"/>
          <w:color w:val="auto"/>
          <w:spacing w:val="0"/>
          <w:sz w:val="32"/>
          <w:szCs w:val="32"/>
          <w:shd w:val="clear" w:fill="FFFFFF"/>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微软雅黑" w:hAnsi="微软雅黑" w:eastAsia="微软雅黑" w:cs="微软雅黑"/>
          <w:i w:val="0"/>
          <w:iCs w:val="0"/>
          <w:caps w:val="0"/>
          <w:color w:val="525353"/>
          <w:spacing w:val="0"/>
          <w:sz w:val="24"/>
          <w:szCs w:val="24"/>
          <w:shd w:val="clear" w:fill="FFFFFF"/>
        </w:rPr>
        <w:t>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bookmarkStart w:id="1" w:name="_GoBack"/>
      <w:r>
        <w:rPr>
          <w:rFonts w:hint="eastAsia" w:ascii="方正小标宋_GBK" w:hAnsi="方正小标宋_GBK" w:eastAsia="方正小标宋_GBK" w:cs="方正小标宋_GBK"/>
          <w:sz w:val="44"/>
          <w:szCs w:val="44"/>
          <w:lang w:val="en-US" w:eastAsia="zh-CN"/>
        </w:rPr>
        <w:t>广西体育旅游导览地图设计及平台搭建服务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工作评分方案</w:t>
      </w:r>
      <w:bookmarkEnd w:id="1"/>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 w:beforeAutospacing="0" w:after="24" w:afterAutospacing="0" w:line="560" w:lineRule="exact"/>
        <w:ind w:left="336" w:right="0" w:firstLine="504"/>
        <w:textAlignment w:val="auto"/>
        <w:rPr>
          <w:rFonts w:hint="eastAsia" w:ascii="黑体" w:hAnsi="宋体" w:eastAsia="黑体" w:cs="黑体"/>
          <w:i w:val="0"/>
          <w:iCs w:val="0"/>
          <w:caps w:val="0"/>
          <w:color w:val="525353"/>
          <w:spacing w:val="0"/>
          <w:sz w:val="25"/>
          <w:szCs w:val="25"/>
          <w:shd w:val="clear" w:fill="FFFFFF"/>
        </w:rPr>
      </w:pPr>
    </w:p>
    <w:p>
      <w:pPr>
        <w:keepNext w:val="0"/>
        <w:keepLines w:val="0"/>
        <w:pageBreakBefore w:val="0"/>
        <w:tabs>
          <w:tab w:val="left" w:pos="7680"/>
          <w:tab w:val="left" w:pos="800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黑体" w:hAnsi="黑体" w:eastAsia="黑体" w:cs="黑体"/>
          <w:b w:val="0"/>
          <w:bCs w:val="0"/>
          <w:color w:val="auto"/>
          <w:sz w:val="32"/>
          <w:szCs w:val="32"/>
          <w:lang w:eastAsia="zh-CN"/>
        </w:rPr>
        <w:t>一、报价分（15分）</w:t>
      </w:r>
    </w:p>
    <w:p>
      <w:pPr>
        <w:keepNext w:val="0"/>
        <w:keepLines w:val="0"/>
        <w:pageBreakBefore w:val="0"/>
        <w:tabs>
          <w:tab w:val="left" w:pos="7680"/>
          <w:tab w:val="left" w:pos="800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以满足采购内容要求且最后报价最低的价格为评审基准价，其报价分为满分。其他供应商的报价分统一按照下列公式计算：报价得分=（评审基准价/报价）×报价分满分分值。</w:t>
      </w:r>
    </w:p>
    <w:p>
      <w:pPr>
        <w:keepNext w:val="0"/>
        <w:keepLines w:val="0"/>
        <w:pageBreakBefore w:val="0"/>
        <w:tabs>
          <w:tab w:val="left" w:pos="7680"/>
          <w:tab w:val="left" w:pos="8000"/>
        </w:tabs>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lang w:val="en-US" w:eastAsia="zh-CN"/>
        </w:rPr>
        <w:t>技术分</w:t>
      </w:r>
      <w:r>
        <w:rPr>
          <w:rFonts w:hint="eastAsia" w:ascii="黑体" w:hAnsi="黑体" w:eastAsia="黑体" w:cs="黑体"/>
          <w:color w:val="auto"/>
          <w:sz w:val="32"/>
          <w:szCs w:val="32"/>
          <w:lang w:eastAsia="zh-CN"/>
        </w:rPr>
        <w:t>（</w:t>
      </w:r>
      <w:r>
        <w:rPr>
          <w:rFonts w:hint="eastAsia" w:ascii="黑体" w:hAnsi="黑体" w:eastAsia="黑体" w:cs="黑体"/>
          <w:color w:val="auto"/>
          <w:sz w:val="32"/>
          <w:szCs w:val="32"/>
          <w:lang w:val="en-US" w:eastAsia="zh-CN"/>
        </w:rPr>
        <w:t>65</w:t>
      </w:r>
      <w:r>
        <w:rPr>
          <w:rFonts w:hint="eastAsia" w:ascii="黑体" w:hAnsi="黑体" w:eastAsia="黑体" w:cs="黑体"/>
          <w:color w:val="auto"/>
          <w:sz w:val="32"/>
          <w:szCs w:val="32"/>
          <w:lang w:eastAsia="zh-CN"/>
        </w:rPr>
        <w:t>分）</w:t>
      </w:r>
    </w:p>
    <w:p>
      <w:pPr>
        <w:keepNext w:val="0"/>
        <w:keepLines w:val="0"/>
        <w:pageBreakBefore w:val="0"/>
        <w:widowControl w:val="0"/>
        <w:kinsoku/>
        <w:wordWrap w:val="0"/>
        <w:overflowPunct/>
        <w:topLinePunct w:val="0"/>
        <w:autoSpaceDE/>
        <w:autoSpaceDN/>
        <w:bidi w:val="0"/>
        <w:adjustRightInd/>
        <w:snapToGrid/>
        <w:spacing w:line="560" w:lineRule="exact"/>
        <w:ind w:left="0"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（一）技术方案分（15分）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olor w:val="000000"/>
          <w:sz w:val="32"/>
          <w:szCs w:val="32"/>
          <w:lang w:val="en-US" w:eastAsia="zh-CN"/>
        </w:rPr>
      </w:pPr>
      <w:r>
        <w:rPr>
          <w:rFonts w:hint="eastAsia" w:ascii="仿宋_GB2312" w:hAnsi="仿宋_GB2312" w:eastAsia="仿宋_GB2312"/>
          <w:color w:val="000000"/>
          <w:sz w:val="32"/>
          <w:szCs w:val="32"/>
          <w:lang w:val="en-US" w:eastAsia="zh-CN"/>
        </w:rPr>
        <w:t>一档（5分）：评定范围：提供了建设和技术支撑方案，方案简单。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olor w:val="000000"/>
          <w:sz w:val="32"/>
          <w:szCs w:val="32"/>
          <w:lang w:val="en-US" w:eastAsia="zh-CN"/>
        </w:rPr>
      </w:pPr>
      <w:r>
        <w:rPr>
          <w:rFonts w:hint="eastAsia" w:ascii="仿宋_GB2312" w:hAnsi="仿宋_GB2312" w:eastAsia="仿宋_GB2312"/>
          <w:color w:val="000000"/>
          <w:sz w:val="32"/>
          <w:szCs w:val="32"/>
          <w:lang w:val="en-US" w:eastAsia="zh-CN"/>
        </w:rPr>
        <w:t>二档（10分）：在一档的基础上，理解项目建设背景和建设需求，提供了项目建设和技术支撑方案，对项目建设目标、整体架构、功能模块、实现思路和关键技术的理解有基本描述。技术方案无漏项，满足招标文件要求，内容无前后矛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olor w:val="000000"/>
          <w:sz w:val="32"/>
          <w:szCs w:val="32"/>
          <w:lang w:val="en-US" w:eastAsia="zh-CN"/>
        </w:rPr>
      </w:pPr>
      <w:r>
        <w:rPr>
          <w:rFonts w:hint="eastAsia" w:ascii="仿宋_GB2312" w:hAnsi="仿宋_GB2312" w:eastAsia="仿宋_GB2312"/>
          <w:color w:val="000000"/>
          <w:sz w:val="32"/>
          <w:szCs w:val="32"/>
          <w:lang w:val="en-US" w:eastAsia="zh-CN"/>
        </w:rPr>
        <w:t>三档（15分）：在二档的基础上，设计内容齐全、完整、严谨，完全响应用户需求，提供了项目建设和技术支撑方案。对项目建设内容、整体架构、功能模块、实现思路和关键技术的理解有详细的阐述。投标方案点对点应答详尽、明晰，满足采购文件要求，内容齐全、表述准确、条理清晰，内容无前后矛盾，符合采购文件要求。项目建设和技术支撑方案与业务需求高度吻合，体现方案的特色性、先进性、可行性、扩展性，方案科学合理、安全严密、具有一定的前瞻性。</w:t>
      </w:r>
    </w:p>
    <w:p>
      <w:pPr>
        <w:keepNext w:val="0"/>
        <w:keepLines w:val="0"/>
        <w:pageBreakBefore w:val="0"/>
        <w:widowControl w:val="0"/>
        <w:kinsoku/>
        <w:wordWrap w:val="0"/>
        <w:overflowPunct/>
        <w:topLinePunct w:val="0"/>
        <w:autoSpaceDE/>
        <w:autoSpaceDN/>
        <w:bidi w:val="0"/>
        <w:adjustRightInd/>
        <w:snapToGrid/>
        <w:spacing w:line="560" w:lineRule="exact"/>
        <w:ind w:left="0"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（二）实施方案分（18分）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olor w:val="000000"/>
          <w:sz w:val="32"/>
          <w:szCs w:val="32"/>
          <w:lang w:val="en-US" w:eastAsia="zh-CN"/>
        </w:rPr>
      </w:pPr>
      <w:r>
        <w:rPr>
          <w:rFonts w:hint="eastAsia" w:ascii="仿宋_GB2312" w:hAnsi="仿宋_GB2312" w:eastAsia="仿宋_GB2312"/>
          <w:color w:val="000000"/>
          <w:sz w:val="32"/>
          <w:szCs w:val="32"/>
          <w:lang w:val="en-US" w:eastAsia="zh-CN"/>
        </w:rPr>
        <w:t>一档（6分）：提供实施方案，项目实施及管理等方面有简单描述，基本符合项目实际情况。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olor w:val="000000"/>
          <w:sz w:val="32"/>
          <w:szCs w:val="32"/>
          <w:lang w:val="en-US" w:eastAsia="zh-CN"/>
        </w:rPr>
      </w:pPr>
      <w:r>
        <w:rPr>
          <w:rFonts w:hint="eastAsia" w:ascii="仿宋_GB2312" w:hAnsi="仿宋_GB2312" w:eastAsia="仿宋_GB2312"/>
          <w:color w:val="000000"/>
          <w:sz w:val="32"/>
          <w:szCs w:val="32"/>
          <w:lang w:val="en-US" w:eastAsia="zh-CN"/>
        </w:rPr>
        <w:t>二档（12分）：提供实施方案，项目实施及管理等方面有较详细描述，符合项目实际情况。项目实施方案切实可行，有明确的工程进度，项目管理制度及方法严谨。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olor w:val="000000"/>
          <w:sz w:val="32"/>
          <w:szCs w:val="32"/>
          <w:lang w:val="en-US" w:eastAsia="zh-CN"/>
        </w:rPr>
        <w:t>三档（18分）：提供实施方案，项目实施方案科学合理，有明确的实施进度计划和步骤，有明确的项目实施保障措施，对质量管理有详细的管理措施，符合项目实际情况。</w:t>
      </w:r>
    </w:p>
    <w:p>
      <w:pPr>
        <w:keepNext w:val="0"/>
        <w:keepLines w:val="0"/>
        <w:pageBreakBefore w:val="0"/>
        <w:widowControl w:val="0"/>
        <w:kinsoku/>
        <w:wordWrap w:val="0"/>
        <w:overflowPunct/>
        <w:topLinePunct w:val="0"/>
        <w:autoSpaceDE/>
        <w:autoSpaceDN/>
        <w:bidi w:val="0"/>
        <w:adjustRightInd/>
        <w:snapToGrid/>
        <w:spacing w:line="560" w:lineRule="exact"/>
        <w:ind w:left="0"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（三）项目实施团队人员分（满分12分）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olor w:val="000000"/>
          <w:sz w:val="32"/>
          <w:szCs w:val="32"/>
          <w:lang w:val="en-US" w:eastAsia="zh-CN"/>
        </w:rPr>
      </w:pPr>
      <w:r>
        <w:rPr>
          <w:rFonts w:hint="eastAsia" w:ascii="仿宋_GB2312" w:hAnsi="仿宋_GB2312" w:eastAsia="仿宋_GB2312"/>
          <w:color w:val="000000"/>
          <w:sz w:val="32"/>
          <w:szCs w:val="32"/>
          <w:lang w:val="en-US" w:eastAsia="zh-CN"/>
        </w:rPr>
        <w:t>一档（4分）：供应商拟投入的项目负责人具备高级信息系统项目管理师，拟投入的实施团队成员不少于5人。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olor w:val="000000"/>
          <w:sz w:val="32"/>
          <w:szCs w:val="32"/>
          <w:lang w:val="en-US" w:eastAsia="zh-CN"/>
        </w:rPr>
      </w:pPr>
      <w:r>
        <w:rPr>
          <w:rFonts w:hint="eastAsia" w:ascii="仿宋_GB2312" w:hAnsi="仿宋_GB2312" w:eastAsia="仿宋_GB2312"/>
          <w:color w:val="000000"/>
          <w:sz w:val="32"/>
          <w:szCs w:val="32"/>
          <w:lang w:val="en-US" w:eastAsia="zh-CN"/>
        </w:rPr>
        <w:t>二档（8分）：供应商拟投入的项目负责人同时具备高级信息系统项目管理师、信息系统监理师，拟投入的实施团队成员不少于5人，且团队成员中具备系统架构设计师、软件设计师、数据库高级管理师（Oracle）。</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olor w:val="000000"/>
          <w:sz w:val="32"/>
          <w:szCs w:val="32"/>
          <w:lang w:val="en-US" w:eastAsia="zh-CN"/>
        </w:rPr>
      </w:pPr>
      <w:r>
        <w:rPr>
          <w:rFonts w:hint="eastAsia" w:ascii="仿宋_GB2312" w:hAnsi="仿宋_GB2312" w:eastAsia="仿宋_GB2312"/>
          <w:color w:val="000000"/>
          <w:sz w:val="32"/>
          <w:szCs w:val="32"/>
          <w:lang w:val="en-US" w:eastAsia="zh-CN"/>
        </w:rPr>
        <w:t>三档（12分）：供应商拟投入的项目负责人同时具备高级信息系统项目管理师、信息系统监理师、中级及以上工程师认证，拟投入的实施团队成员不少于7人，且团队成员中具备系统架构设计师、软件设计师、数据库高级管理师（Oracle）、系统规划和管理师、</w:t>
      </w:r>
      <w:bookmarkStart w:id="0" w:name="_Hlk82440957"/>
      <w:r>
        <w:rPr>
          <w:rFonts w:hint="eastAsia" w:ascii="仿宋_GB2312" w:hAnsi="仿宋_GB2312" w:eastAsia="仿宋_GB2312"/>
          <w:color w:val="000000"/>
          <w:sz w:val="32"/>
          <w:szCs w:val="32"/>
          <w:lang w:val="en-US" w:eastAsia="zh-CN"/>
        </w:rPr>
        <w:t>网络工程师</w:t>
      </w:r>
      <w:bookmarkEnd w:id="0"/>
      <w:r>
        <w:rPr>
          <w:rFonts w:hint="eastAsia" w:ascii="仿宋_GB2312" w:hAnsi="仿宋_GB2312" w:eastAsia="仿宋_GB2312"/>
          <w:color w:val="0000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olor w:val="000000"/>
          <w:sz w:val="32"/>
          <w:szCs w:val="32"/>
          <w:lang w:val="en-US" w:eastAsia="zh-CN"/>
        </w:rPr>
      </w:pPr>
      <w:r>
        <w:rPr>
          <w:rFonts w:hint="eastAsia" w:ascii="仿宋_GB2312" w:hAnsi="仿宋_GB2312" w:eastAsia="仿宋_GB2312"/>
          <w:color w:val="000000"/>
          <w:sz w:val="32"/>
          <w:szCs w:val="32"/>
          <w:lang w:val="en-US" w:eastAsia="zh-CN"/>
        </w:rPr>
        <w:t>注：1.同一人持有不同证书不予以重复计入。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olor w:val="000000"/>
          <w:sz w:val="32"/>
          <w:szCs w:val="32"/>
          <w:lang w:val="en-US" w:eastAsia="zh-CN"/>
        </w:rPr>
      </w:pPr>
      <w:r>
        <w:rPr>
          <w:rFonts w:hint="eastAsia" w:ascii="仿宋_GB2312" w:hAnsi="仿宋_GB2312" w:eastAsia="仿宋_GB2312"/>
          <w:color w:val="000000"/>
          <w:sz w:val="32"/>
          <w:szCs w:val="32"/>
          <w:lang w:val="en-US" w:eastAsia="zh-CN"/>
        </w:rPr>
        <w:t>2.响应文件中提供人员证书复印件，及供应商为其缴纳的投标截止日期之前六个月以内任三个月社保证明；依法不需要缴纳社会保障资金的，必须提供相应文件证明不需要缴纳社会保障资金。从成立之日起到响应文件提交截止时间止不足要求月数的只需提供从成立之日起的依法缴纳社会保障资金的相应证明文件。</w:t>
      </w:r>
    </w:p>
    <w:p>
      <w:pPr>
        <w:keepNext w:val="0"/>
        <w:keepLines w:val="0"/>
        <w:pageBreakBefore w:val="0"/>
        <w:widowControl w:val="0"/>
        <w:kinsoku/>
        <w:wordWrap w:val="0"/>
        <w:overflowPunct/>
        <w:topLinePunct w:val="0"/>
        <w:autoSpaceDE/>
        <w:autoSpaceDN/>
        <w:bidi w:val="0"/>
        <w:adjustRightInd/>
        <w:snapToGrid/>
        <w:spacing w:line="560" w:lineRule="exact"/>
        <w:ind w:left="0"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（四）售后服务方案分（满分20分）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olor w:val="000000"/>
          <w:sz w:val="32"/>
          <w:szCs w:val="32"/>
          <w:lang w:val="en-US" w:eastAsia="zh-CN"/>
        </w:rPr>
      </w:pPr>
      <w:r>
        <w:rPr>
          <w:rFonts w:hint="eastAsia" w:ascii="仿宋_GB2312" w:hAnsi="仿宋_GB2312" w:eastAsia="仿宋_GB2312"/>
          <w:color w:val="000000"/>
          <w:sz w:val="32"/>
          <w:szCs w:val="32"/>
          <w:lang w:val="en-US" w:eastAsia="zh-CN"/>
        </w:rPr>
        <w:t>一档（10分）：售后服务方案基本满足采购文件要求，提供基本的服务方案。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olor w:val="000000"/>
          <w:sz w:val="32"/>
          <w:szCs w:val="32"/>
          <w:lang w:val="en-US" w:eastAsia="zh-CN"/>
        </w:rPr>
      </w:pPr>
      <w:r>
        <w:rPr>
          <w:rFonts w:hint="eastAsia" w:ascii="仿宋_GB2312" w:hAnsi="仿宋_GB2312" w:eastAsia="仿宋_GB2312"/>
          <w:color w:val="000000"/>
          <w:sz w:val="32"/>
          <w:szCs w:val="32"/>
          <w:lang w:val="en-US" w:eastAsia="zh-CN"/>
        </w:rPr>
        <w:t>二档（15分）：售后服务方案包含应对需求的具体方案实施情况、运维人员安排情况、风险防范措施及应急处理措施。方案阐述简单、运维工作安排较合理，风险防范措施及应急处理措施基本可行。拟投入的售后技术负责人同时具备注册渗透测试工程师（CISP-PTE）、数据分析师的，且团队成员中具备系统集成项目管理工程师3人及以上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olor w:val="000000"/>
          <w:sz w:val="32"/>
          <w:szCs w:val="32"/>
          <w:lang w:val="en-US" w:eastAsia="zh-CN"/>
        </w:rPr>
      </w:pPr>
      <w:r>
        <w:rPr>
          <w:rFonts w:hint="eastAsia" w:ascii="仿宋_GB2312" w:hAnsi="仿宋_GB2312" w:eastAsia="仿宋_GB2312"/>
          <w:color w:val="000000"/>
          <w:sz w:val="32"/>
          <w:szCs w:val="32"/>
          <w:lang w:val="en-US" w:eastAsia="zh-CN"/>
        </w:rPr>
        <w:t>三档（20分）：售后服务方案包含应对需求的具体方案实施情况、运维人员安排情况、风险防范措施及应急处理措施，方案阐述详细、运维工作安排合理、风险防范措施及应急处理措施可行，提供详细的质量控制措施、安全保障措施、应急保障措施，提供针对本项目全面、详细的培训方案具有详细的培训计划、培训师资力量、培训内容（如：课程、日程、人员、地点、培训手册、系统操作视频等）保证措施。总体方案优秀，人员配备满足需求，提供重要时期保障措施针对性、可行性较强；拟投入的售后技术负责人同时具备注册渗透测试工程师（CISP-PTE）、数据分析师、高级工程师证书的，且团队成员中具备系统集成项目管理工程师5人及以上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lang w:val="en-US" w:eastAsia="zh-CN"/>
        </w:rPr>
      </w:pPr>
      <w:r>
        <w:rPr>
          <w:rFonts w:hint="eastAsia" w:ascii="仿宋_GB2312" w:hAnsi="仿宋_GB2312" w:eastAsia="仿宋_GB2312"/>
          <w:color w:val="000000"/>
          <w:sz w:val="32"/>
          <w:szCs w:val="32"/>
          <w:lang w:val="en-US" w:eastAsia="zh-CN"/>
        </w:rPr>
        <w:t>注：响应文件中提供人员证书复印件，及供应商为其缴纳的投标截止日期之前六个月以内任三个月社保证明；依法不需要缴纳社会保障资金的，必须提供相应文件证明不需要缴纳社会保障资金。从成立之日起到响应文件提交截止时间止不足要求月数的只需提供从成立之日起的依法缴纳社会保障资金的相应证明文件。</w:t>
      </w:r>
    </w:p>
    <w:p>
      <w:pPr>
        <w:keepNext w:val="0"/>
        <w:keepLines w:val="0"/>
        <w:pageBreakBefore w:val="0"/>
        <w:tabs>
          <w:tab w:val="left" w:pos="7680"/>
          <w:tab w:val="left" w:pos="8000"/>
        </w:tabs>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lang w:val="en-US" w:eastAsia="zh-CN"/>
        </w:rPr>
        <w:t>商务分</w:t>
      </w:r>
      <w:r>
        <w:rPr>
          <w:rFonts w:hint="eastAsia" w:ascii="黑体" w:hAnsi="黑体" w:eastAsia="黑体" w:cs="黑体"/>
          <w:color w:val="auto"/>
          <w:sz w:val="32"/>
          <w:szCs w:val="32"/>
          <w:lang w:eastAsia="zh-CN"/>
        </w:rPr>
        <w:t>（</w:t>
      </w:r>
      <w:r>
        <w:rPr>
          <w:rFonts w:hint="eastAsia" w:ascii="黑体" w:hAnsi="黑体" w:eastAsia="黑体" w:cs="黑体"/>
          <w:color w:val="auto"/>
          <w:sz w:val="32"/>
          <w:szCs w:val="32"/>
          <w:lang w:val="en-US" w:eastAsia="zh-CN"/>
        </w:rPr>
        <w:t>20</w:t>
      </w:r>
      <w:r>
        <w:rPr>
          <w:rFonts w:hint="eastAsia" w:ascii="黑体" w:hAnsi="黑体" w:eastAsia="黑体" w:cs="黑体"/>
          <w:color w:val="auto"/>
          <w:sz w:val="32"/>
          <w:szCs w:val="32"/>
          <w:lang w:eastAsia="zh-CN"/>
        </w:rPr>
        <w:t>分）</w:t>
      </w:r>
    </w:p>
    <w:p>
      <w:pPr>
        <w:keepNext w:val="0"/>
        <w:keepLines w:val="0"/>
        <w:pageBreakBefore w:val="0"/>
        <w:widowControl w:val="0"/>
        <w:kinsoku/>
        <w:wordWrap w:val="0"/>
        <w:overflowPunct/>
        <w:topLinePunct w:val="0"/>
        <w:autoSpaceDE/>
        <w:autoSpaceDN/>
        <w:bidi w:val="0"/>
        <w:adjustRightInd/>
        <w:snapToGrid/>
        <w:spacing w:line="560" w:lineRule="exact"/>
        <w:ind w:left="0"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（一）信誉分（满分18分）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olor w:val="000000"/>
          <w:sz w:val="32"/>
          <w:szCs w:val="32"/>
          <w:lang w:val="en-US" w:eastAsia="zh-CN"/>
        </w:rPr>
      </w:pPr>
      <w:r>
        <w:rPr>
          <w:rFonts w:hint="eastAsia" w:ascii="仿宋_GB2312" w:hAnsi="仿宋_GB2312" w:eastAsia="仿宋_GB2312"/>
          <w:color w:val="000000"/>
          <w:sz w:val="32"/>
          <w:szCs w:val="32"/>
          <w:lang w:val="en-US" w:eastAsia="zh-CN"/>
        </w:rPr>
        <w:t>1.供应商具备中国网络安全审查技术与认证中心颁发的信息系统安全运维服务一级资质的，得3分。（响应文件中需提供证书复印件加盖供应商公章，否则不得分）。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olor w:val="000000"/>
          <w:sz w:val="32"/>
          <w:szCs w:val="32"/>
          <w:lang w:val="en-US" w:eastAsia="zh-CN"/>
        </w:rPr>
      </w:pPr>
      <w:r>
        <w:rPr>
          <w:rFonts w:hint="eastAsia" w:ascii="仿宋_GB2312" w:hAnsi="仿宋_GB2312" w:eastAsia="仿宋_GB2312"/>
          <w:color w:val="000000"/>
          <w:sz w:val="32"/>
          <w:szCs w:val="32"/>
          <w:lang w:val="en-US" w:eastAsia="zh-CN"/>
        </w:rPr>
        <w:t>2.供应商获得ITSS信息技术服务标准符合性证书（业务领域：运行维护）一级资质的，得3分。（响应文件中需提供证书复印件加盖供应商公章，否则不得分）。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olor w:val="000000"/>
          <w:sz w:val="32"/>
          <w:szCs w:val="32"/>
          <w:lang w:val="en-US" w:eastAsia="zh-CN"/>
        </w:rPr>
      </w:pPr>
      <w:r>
        <w:rPr>
          <w:rFonts w:hint="eastAsia" w:ascii="仿宋_GB2312" w:hAnsi="仿宋_GB2312" w:eastAsia="仿宋_GB2312"/>
          <w:color w:val="000000"/>
          <w:sz w:val="32"/>
          <w:szCs w:val="32"/>
          <w:lang w:val="en-US" w:eastAsia="zh-CN"/>
        </w:rPr>
        <w:t>3.供应商具备信息系统服务交付能力等级证书一级的，得3分。（响应文件中需提供证书复印件加盖供应商公章，否则不得分）。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olor w:val="000000"/>
          <w:sz w:val="32"/>
          <w:szCs w:val="32"/>
          <w:lang w:val="en-US" w:eastAsia="zh-CN"/>
        </w:rPr>
      </w:pPr>
      <w:r>
        <w:rPr>
          <w:rFonts w:hint="eastAsia" w:ascii="仿宋_GB2312" w:hAnsi="仿宋_GB2312" w:eastAsia="仿宋_GB2312"/>
          <w:color w:val="000000"/>
          <w:sz w:val="32"/>
          <w:szCs w:val="32"/>
          <w:lang w:val="en-US" w:eastAsia="zh-CN"/>
        </w:rPr>
        <w:t>4.供应商具备中国信息安全测评中心颁发的“国家信息安全测评信息安全服务资质证书（风险评估二级）或（风险评估三级）”的，得3分。（响应文件中需提供证书复印件加盖供应商公章，否则不得分）。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olor w:val="000000"/>
          <w:sz w:val="32"/>
          <w:szCs w:val="32"/>
          <w:lang w:val="en-US" w:eastAsia="zh-CN"/>
        </w:rPr>
      </w:pPr>
      <w:r>
        <w:rPr>
          <w:rFonts w:hint="eastAsia" w:ascii="仿宋_GB2312" w:hAnsi="仿宋_GB2312" w:eastAsia="仿宋_GB2312"/>
          <w:color w:val="000000"/>
          <w:sz w:val="32"/>
          <w:szCs w:val="32"/>
          <w:lang w:val="en-US" w:eastAsia="zh-CN"/>
        </w:rPr>
        <w:t>5.近三年内获得过国家信息技术ITSS研制和应用单位、ITSS国家信息技术服务标准工作组全权成员单位的，得3分，提供不全不得分。（响应文件中需提供证书复印件加盖供应商公章，否则不得分）。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olor w:val="000000"/>
          <w:sz w:val="32"/>
          <w:szCs w:val="32"/>
          <w:lang w:val="en-US" w:eastAsia="zh-CN"/>
        </w:rPr>
      </w:pPr>
      <w:r>
        <w:rPr>
          <w:rFonts w:hint="eastAsia" w:ascii="仿宋_GB2312" w:hAnsi="仿宋_GB2312" w:eastAsia="仿宋_GB2312"/>
          <w:color w:val="000000"/>
          <w:sz w:val="32"/>
          <w:szCs w:val="32"/>
          <w:lang w:val="en-US" w:eastAsia="zh-CN"/>
        </w:rPr>
        <w:t>6.供应商具备信息安全管理体系认证证书ISO27001、质量管理体系认证证书ISO9001、信息技术服务管理体系认证证书ISO20000，每提供一个证书得1分，满分3分。（响应文件中需提供证书复印件加盖供应商公章，否则不得分）。</w:t>
      </w:r>
    </w:p>
    <w:p>
      <w:pPr>
        <w:keepNext w:val="0"/>
        <w:keepLines w:val="0"/>
        <w:pageBreakBefore w:val="0"/>
        <w:widowControl w:val="0"/>
        <w:kinsoku/>
        <w:wordWrap w:val="0"/>
        <w:overflowPunct/>
        <w:topLinePunct w:val="0"/>
        <w:autoSpaceDE/>
        <w:autoSpaceDN/>
        <w:bidi w:val="0"/>
        <w:adjustRightInd/>
        <w:snapToGrid/>
        <w:spacing w:line="560" w:lineRule="exact"/>
        <w:ind w:left="0"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（二）业绩分（满分2分）</w:t>
      </w:r>
    </w:p>
    <w:p>
      <w:pPr>
        <w:keepNext w:val="0"/>
        <w:keepLines w:val="0"/>
        <w:pageBreakBefore w:val="0"/>
        <w:widowControl w:val="0"/>
        <w:kinsoku/>
        <w:wordWrap w:val="0"/>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theme="minorBidi"/>
          <w:b w:val="0"/>
          <w:bCs w:val="0"/>
          <w:color w:val="000000"/>
          <w:kern w:val="2"/>
          <w:sz w:val="32"/>
          <w:szCs w:val="32"/>
          <w:lang w:val="en-US" w:eastAsia="zh-CN" w:bidi="ar-SA"/>
        </w:rPr>
      </w:pPr>
      <w:r>
        <w:rPr>
          <w:rFonts w:hint="eastAsia" w:ascii="仿宋_GB2312" w:hAnsi="仿宋_GB2312" w:eastAsia="仿宋_GB2312" w:cstheme="minorBidi"/>
          <w:b w:val="0"/>
          <w:bCs w:val="0"/>
          <w:color w:val="000000"/>
          <w:kern w:val="2"/>
          <w:sz w:val="32"/>
          <w:szCs w:val="32"/>
          <w:lang w:val="en-US" w:eastAsia="zh-CN" w:bidi="ar-SA"/>
        </w:rPr>
        <w:t>供应商自2020年以来完成信息化项目业绩，以中标（成交）通知书或签订的合同为准，每个项目得1分；同一个编号的项目有两个或两个以上的分标中标（成交）的只算一次，满分2分。（响应文件中提供中标（成交）通知书复印件或合同复印件加盖公章）。</w:t>
      </w:r>
    </w:p>
    <w:p>
      <w:pPr>
        <w:keepNext w:val="0"/>
        <w:keepLines w:val="0"/>
        <w:pageBreakBefore w:val="0"/>
        <w:tabs>
          <w:tab w:val="left" w:pos="7680"/>
          <w:tab w:val="left" w:pos="8000"/>
        </w:tabs>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 </w:t>
      </w:r>
    </w:p>
    <w:p>
      <w:pPr>
        <w:keepNext w:val="0"/>
        <w:keepLines w:val="0"/>
        <w:pageBreakBefore w:val="0"/>
        <w:kinsoku/>
        <w:wordWrap/>
        <w:overflowPunct/>
        <w:topLinePunct w:val="0"/>
        <w:autoSpaceDE/>
        <w:autoSpaceDN/>
        <w:bidi w:val="0"/>
        <w:adjustRightInd/>
        <w:snapToGrid/>
        <w:spacing w:line="580" w:lineRule="exact"/>
        <w:textAlignment w:val="auto"/>
      </w:pPr>
    </w:p>
    <w:p/>
    <w:sectPr>
      <w:footerReference r:id="rId3" w:type="default"/>
      <w:pgSz w:w="11906" w:h="16838"/>
      <w:pgMar w:top="2098" w:right="1531" w:bottom="1531"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CESI黑体-GB2312">
    <w:altName w:val="黑体"/>
    <w:panose1 w:val="02000500000000000000"/>
    <w:charset w:val="86"/>
    <w:family w:val="auto"/>
    <w:pitch w:val="default"/>
    <w:sig w:usb0="00000000" w:usb1="00000000" w:usb2="00000012" w:usb3="00000000" w:csb0="0004000F"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44"/>
                            </w:rPr>
                          </w:pPr>
                          <w:r>
                            <w:rPr>
                              <w:rFonts w:hint="eastAsia" w:asciiTheme="minorEastAsia" w:hAnsiTheme="minorEastAsia" w:eastAsiaTheme="minorEastAsia" w:cstheme="minorEastAsia"/>
                              <w:sz w:val="28"/>
                              <w:szCs w:val="44"/>
                            </w:rPr>
                            <w:t>—</w:t>
                          </w:r>
                          <w:r>
                            <w:rPr>
                              <w:rFonts w:hint="eastAsia" w:asciiTheme="minorEastAsia" w:hAnsiTheme="minorEastAsia" w:cstheme="minorEastAsia"/>
                              <w:sz w:val="28"/>
                              <w:szCs w:val="44"/>
                              <w:lang w:val="en-US" w:eastAsia="zh-CN"/>
                            </w:rPr>
                            <w:t xml:space="preserve"> </w:t>
                          </w:r>
                          <w:r>
                            <w:rPr>
                              <w:rFonts w:hint="eastAsia" w:asciiTheme="minorEastAsia" w:hAnsiTheme="minorEastAsia" w:eastAsiaTheme="minorEastAsia" w:cstheme="minorEastAsia"/>
                              <w:sz w:val="28"/>
                              <w:szCs w:val="44"/>
                            </w:rPr>
                            <w:t xml:space="preserve"> </w:t>
                          </w: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hint="eastAsia" w:asciiTheme="minorEastAsia" w:hAnsiTheme="minorEastAsia" w:eastAsiaTheme="minorEastAsia" w:cstheme="minorEastAsia"/>
                              <w:sz w:val="28"/>
                              <w:szCs w:val="44"/>
                            </w:rPr>
                            <w:t>1</w:t>
                          </w:r>
                          <w:r>
                            <w:rPr>
                              <w:rFonts w:hint="eastAsia" w:asciiTheme="minorEastAsia" w:hAnsiTheme="minorEastAsia" w:eastAsiaTheme="minorEastAsia" w:cstheme="minorEastAsia"/>
                              <w:sz w:val="28"/>
                              <w:szCs w:val="44"/>
                            </w:rPr>
                            <w:fldChar w:fldCharType="end"/>
                          </w:r>
                          <w:r>
                            <w:rPr>
                              <w:rFonts w:hint="eastAsia" w:asciiTheme="minorEastAsia" w:hAnsiTheme="minorEastAsia" w:eastAsiaTheme="minorEastAsia" w:cstheme="minorEastAsia"/>
                              <w:sz w:val="28"/>
                              <w:szCs w:val="44"/>
                            </w:rPr>
                            <w:t xml:space="preserve"> </w:t>
                          </w:r>
                          <w:r>
                            <w:rPr>
                              <w:rFonts w:hint="eastAsia" w:asciiTheme="minorEastAsia" w:hAnsiTheme="minorEastAsia" w:cstheme="minorEastAsia"/>
                              <w:sz w:val="28"/>
                              <w:szCs w:val="44"/>
                              <w:lang w:val="en-US" w:eastAsia="zh-CN"/>
                            </w:rPr>
                            <w:t xml:space="preserve"> </w:t>
                          </w:r>
                          <w:r>
                            <w:rPr>
                              <w:rFonts w:hint="eastAsia" w:asciiTheme="minorEastAsia" w:hAnsiTheme="minorEastAsia" w:eastAsiaTheme="minorEastAsia" w:cstheme="minorEastAsia"/>
                              <w:sz w:val="28"/>
                              <w:szCs w:val="44"/>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44"/>
                      </w:rPr>
                    </w:pPr>
                    <w:r>
                      <w:rPr>
                        <w:rFonts w:hint="eastAsia" w:asciiTheme="minorEastAsia" w:hAnsiTheme="minorEastAsia" w:eastAsiaTheme="minorEastAsia" w:cstheme="minorEastAsia"/>
                        <w:sz w:val="28"/>
                        <w:szCs w:val="44"/>
                      </w:rPr>
                      <w:t>—</w:t>
                    </w:r>
                    <w:r>
                      <w:rPr>
                        <w:rFonts w:hint="eastAsia" w:asciiTheme="minorEastAsia" w:hAnsiTheme="minorEastAsia" w:cstheme="minorEastAsia"/>
                        <w:sz w:val="28"/>
                        <w:szCs w:val="44"/>
                        <w:lang w:val="en-US" w:eastAsia="zh-CN"/>
                      </w:rPr>
                      <w:t xml:space="preserve"> </w:t>
                    </w:r>
                    <w:r>
                      <w:rPr>
                        <w:rFonts w:hint="eastAsia" w:asciiTheme="minorEastAsia" w:hAnsiTheme="minorEastAsia" w:eastAsiaTheme="minorEastAsia" w:cstheme="minorEastAsia"/>
                        <w:sz w:val="28"/>
                        <w:szCs w:val="44"/>
                      </w:rPr>
                      <w:t xml:space="preserve"> </w:t>
                    </w: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hint="eastAsia" w:asciiTheme="minorEastAsia" w:hAnsiTheme="minorEastAsia" w:eastAsiaTheme="minorEastAsia" w:cstheme="minorEastAsia"/>
                        <w:sz w:val="28"/>
                        <w:szCs w:val="44"/>
                      </w:rPr>
                      <w:t>1</w:t>
                    </w:r>
                    <w:r>
                      <w:rPr>
                        <w:rFonts w:hint="eastAsia" w:asciiTheme="minorEastAsia" w:hAnsiTheme="minorEastAsia" w:eastAsiaTheme="minorEastAsia" w:cstheme="minorEastAsia"/>
                        <w:sz w:val="28"/>
                        <w:szCs w:val="44"/>
                      </w:rPr>
                      <w:fldChar w:fldCharType="end"/>
                    </w:r>
                    <w:r>
                      <w:rPr>
                        <w:rFonts w:hint="eastAsia" w:asciiTheme="minorEastAsia" w:hAnsiTheme="minorEastAsia" w:eastAsiaTheme="minorEastAsia" w:cstheme="minorEastAsia"/>
                        <w:sz w:val="28"/>
                        <w:szCs w:val="44"/>
                      </w:rPr>
                      <w:t xml:space="preserve"> </w:t>
                    </w:r>
                    <w:r>
                      <w:rPr>
                        <w:rFonts w:hint="eastAsia" w:asciiTheme="minorEastAsia" w:hAnsiTheme="minorEastAsia" w:cstheme="minorEastAsia"/>
                        <w:sz w:val="28"/>
                        <w:szCs w:val="44"/>
                        <w:lang w:val="en-US" w:eastAsia="zh-CN"/>
                      </w:rPr>
                      <w:t xml:space="preserve"> </w:t>
                    </w:r>
                    <w:r>
                      <w:rPr>
                        <w:rFonts w:hint="eastAsia" w:asciiTheme="minorEastAsia" w:hAnsiTheme="minorEastAsia" w:eastAsiaTheme="minorEastAsia" w:cstheme="minorEastAsia"/>
                        <w:sz w:val="28"/>
                        <w:szCs w:val="44"/>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E56C5C"/>
    <w:rsid w:val="1FE56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4">
    <w:name w:val="Title"/>
    <w:basedOn w:val="1"/>
    <w:next w:val="1"/>
    <w:qFormat/>
    <w:uiPriority w:val="0"/>
    <w:pPr>
      <w:spacing w:before="240" w:after="60"/>
      <w:jc w:val="center"/>
      <w:outlineLvl w:val="0"/>
    </w:pPr>
    <w:rPr>
      <w:rFonts w:ascii="Cambria" w:hAnsi="Cambria" w:eastAsia="宋体" w:cs="Times New Roman"/>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2022-10-14T01:33:00Z</dcterms:created>
  <dc:creator>DELL</dc:creator>
  <cp:lastModifiedBy>DELL</cp:lastModifiedBy>
  <dcterms:modified xsi:type="dcterms:W3CDTF">2022-10-14T01:34:34Z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