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52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52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  <w:lang w:val="en-US" w:eastAsia="zh-CN"/>
        </w:rPr>
        <w:t>运动员人身意外保险（团体）</w:t>
      </w:r>
      <w:r>
        <w:rPr>
          <w:rFonts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</w:rPr>
        <w:t>服务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</w:rPr>
        <w:t>供应商采购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520" w:lineRule="exact"/>
        <w:ind w:right="0" w:firstLine="3440" w:firstLineChars="800"/>
        <w:jc w:val="both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525353"/>
          <w:spacing w:val="0"/>
          <w:sz w:val="43"/>
          <w:szCs w:val="43"/>
          <w:shd w:val="clear" w:fill="FFFFFF"/>
        </w:rPr>
        <w:t>评分办法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right="0"/>
        <w:jc w:val="center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（综合评分法）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9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</w:rPr>
        <w:t>一、评标原则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9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(一)评委构成：本采购项目的评委分别由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党办、财务、训练科、教练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代表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共7人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联合评标。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9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(二)评标依据：评标小组应当按照本项目评分办法，对符合条件的供应商提供的报价文件进行综合比较与评价。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9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(三)评标方式：以封闭方式进行。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32" w:afterAutospacing="0" w:line="520" w:lineRule="exact"/>
        <w:ind w:left="0" w:right="0" w:firstLine="63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</w:rPr>
        <w:t>二、评分方法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32" w:afterAutospacing="0" w:line="520" w:lineRule="exact"/>
        <w:ind w:left="0" w:right="0" w:firstLine="63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综合评分法</w:t>
      </w: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24"/>
          <w:szCs w:val="24"/>
          <w:shd w:val="clear" w:fill="FFFFFF"/>
        </w:rPr>
        <w:t> </w:t>
      </w:r>
    </w:p>
    <w:tbl>
      <w:tblPr>
        <w:tblStyle w:val="7"/>
        <w:tblW w:w="8881" w:type="dxa"/>
        <w:jc w:val="center"/>
        <w:tblInd w:w="103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546"/>
        <w:gridCol w:w="2408"/>
        <w:gridCol w:w="2408"/>
        <w:gridCol w:w="127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综合得分汇总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权重名称</w:t>
            </w: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服务方案</w:t>
            </w:r>
          </w:p>
        </w:tc>
        <w:tc>
          <w:tcPr>
            <w:tcW w:w="2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保费报价</w:t>
            </w:r>
          </w:p>
        </w:tc>
        <w:tc>
          <w:tcPr>
            <w:tcW w:w="2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理赔服务承诺</w:t>
            </w: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服务组织配置承诺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投标人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综合得分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服务方案得分+报价得分+理赔服务承诺权重+服务组织配置承诺得分=100分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32" w:afterAutospacing="0" w:line="27" w:lineRule="atLeast"/>
        <w:ind w:left="0" w:right="0" w:firstLine="480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24"/>
          <w:szCs w:val="24"/>
          <w:shd w:val="clear" w:fill="FFFFFF"/>
        </w:rPr>
        <w:t> </w:t>
      </w:r>
    </w:p>
    <w:tbl>
      <w:tblPr>
        <w:tblStyle w:val="7"/>
        <w:tblW w:w="8855" w:type="dxa"/>
        <w:jc w:val="center"/>
        <w:tblInd w:w="1846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15"/>
        <w:gridCol w:w="1359"/>
        <w:gridCol w:w="611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评审项目</w:t>
            </w: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6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4"/>
                <w:szCs w:val="24"/>
              </w:rPr>
              <w:t>评标标准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服务方案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6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1. 评委根据投标人对保险方案中保障内容、最低保险金额的响应程度进行打分，完全响应的得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0分，否则不得分。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2. 在原保险方案基础上，能从保障内容、保障额度方面进行优化，评委根据投标文件优化方案情况进行横向比较打分。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综合评价优秀的20～30分；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综合评价良好的10～20分；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综合评价一般的0～10分；</w:t>
            </w:r>
          </w:p>
          <w:p>
            <w:pPr>
              <w:pStyle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满分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30分。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 2 项得分累计，满分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0分。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保费报价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1. 评委根据投标人保险方案保险费的响应程度进行打分，保险费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不超过预算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得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0分，否则不得分。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2.报价优惠率每优惠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%（含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%）得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分，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%&lt;优惠率≤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%得4分，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%&lt;优惠率≤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%得6分， 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%&lt;优惠率≤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%得8分，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%&lt;优惠率≤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%得10分，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以上 2 项得分累计，满分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0分。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理赔服务承诺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理赔服务承诺，包括：保证理赔服务快速有效的具体措施、办法等。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综合评价优秀的8～10分；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综合评价良好的6～8分；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综合评价一般的4～6分；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综合评价差的0～4分；满分10分。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服务组织配置承诺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6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本项目服务组织配置承诺，包括：总体服务组织体系框架；风险管理、承保、理赔服务人员的分工及岗位职责；理赔服务专业技术实力以及人员证明材料；考核办法等。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综合评价优秀的8～10分；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综合评价良好的6～8分；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综合评价一般的4～6分；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综合评价差的0～4分；满分10分。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30" w:beforeAutospacing="0" w:after="332" w:afterAutospacing="0" w:line="52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525353"/>
          <w:spacing w:val="0"/>
          <w:sz w:val="32"/>
          <w:szCs w:val="32"/>
          <w:shd w:val="clear" w:fill="FFFFFF"/>
        </w:rPr>
        <w:t>三、成交候选人推荐原则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30" w:beforeAutospacing="0" w:after="332" w:afterAutospacing="0" w:line="520" w:lineRule="exact"/>
        <w:ind w:right="0" w:firstLine="620" w:firstLineChars="20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）评标小组将根据得分由高到低排列次序（总得分相同时，以服务方案分由高到低顺序排列；总得分相同及服务方案相同的，按报价分由高到低顺序排列）；并推荐成交候选人3名。得分最高的成交候选人为成交供应商。采购人应当确定推荐排名第一的成交候选人为成交供应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30" w:beforeAutospacing="0" w:after="332" w:afterAutospacing="0" w:line="520" w:lineRule="exact"/>
        <w:ind w:left="0" w:right="0" w:firstLine="63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</w:rPr>
        <w:t>）排名第一的成交候选人放弃、拒绝签订采购合同，采购人可以确定排名第二的成交候选人为成交供应商。排名第二的成交候选人因前款规定的同样原因不能签订合同的，采购人可以确定排名第三的成交候选人为成交供应商。采购人也可以重新组织采购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314B"/>
    <w:rsid w:val="45FA314B"/>
    <w:rsid w:val="5B2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表格文字"/>
    <w:basedOn w:val="1"/>
    <w:qFormat/>
    <w:uiPriority w:val="0"/>
    <w:pPr>
      <w:widowControl w:val="0"/>
      <w:snapToGrid w:val="0"/>
      <w:spacing w:before="62" w:beforeLines="20" w:after="62" w:afterLines="20" w:line="240" w:lineRule="auto"/>
      <w:ind w:firstLine="0" w:firstLineChars="0"/>
    </w:pPr>
    <w:rPr>
      <w:szCs w:val="20"/>
      <w:lang w:val="zh-CN" w:eastAsia="zh-CN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2022-11-10T09:19:00Z</dcterms:created>
  <dc:creator>体育经济处文管</dc:creator>
  <cp:lastModifiedBy>体育经济处文管</cp:lastModifiedBy>
  <dcterms:modified xsi:type="dcterms:W3CDTF">2022-11-10T09:29:30Z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