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9"/>
        <w:rPr>
          <w:rFonts w:hint="eastAsia" w:ascii="黑体" w:hAnsi="黑体" w:eastAsia="黑体" w:cs="黑体"/>
          <w:b w:val="0"/>
          <w:bCs/>
          <w:color w:val="auto"/>
          <w:kern w:val="0"/>
          <w:sz w:val="32"/>
          <w:szCs w:val="32"/>
          <w:highlight w:val="none"/>
          <w:lang w:val="en-US" w:eastAsia="zh-CN"/>
        </w:rPr>
      </w:pPr>
      <w:bookmarkStart w:id="0" w:name="_GoBack"/>
      <w:r>
        <w:rPr>
          <w:rFonts w:hint="eastAsia" w:ascii="黑体" w:hAnsi="黑体" w:eastAsia="黑体" w:cs="黑体"/>
          <w:b w:val="0"/>
          <w:bCs/>
          <w:color w:val="auto"/>
          <w:kern w:val="0"/>
          <w:sz w:val="32"/>
          <w:szCs w:val="32"/>
          <w:highlight w:val="none"/>
          <w:lang w:eastAsia="zh-CN"/>
        </w:rPr>
        <w:t>附件</w:t>
      </w:r>
      <w:r>
        <w:rPr>
          <w:rFonts w:hint="eastAsia" w:ascii="黑体" w:hAnsi="黑体" w:eastAsia="黑体" w:cs="黑体"/>
          <w:b w:val="0"/>
          <w:bCs/>
          <w:color w:val="auto"/>
          <w:kern w:val="0"/>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_GBK" w:hAnsi="方正小标宋_GBK" w:eastAsia="方正小标宋_GBK" w:cs="方正小标宋_GBK"/>
          <w:b w:val="0"/>
          <w:bCs/>
          <w:sz w:val="32"/>
          <w:szCs w:val="32"/>
          <w:highlight w:val="none"/>
          <w:lang w:val="en-US" w:eastAsia="zh-CN"/>
        </w:rPr>
      </w:pPr>
      <w:r>
        <w:rPr>
          <w:rFonts w:hint="eastAsia" w:ascii="方正小标宋_GBK" w:hAnsi="方正小标宋_GBK" w:eastAsia="方正小标宋_GBK" w:cs="方正小标宋_GBK"/>
          <w:b w:val="0"/>
          <w:bCs/>
          <w:sz w:val="32"/>
          <w:szCs w:val="32"/>
          <w:highlight w:val="none"/>
          <w:lang w:val="en-US" w:eastAsia="zh-CN"/>
        </w:rPr>
        <w:t>项目评审标准</w:t>
      </w:r>
    </w:p>
    <w:bookmarkEnd w:id="0"/>
    <w:tbl>
      <w:tblPr>
        <w:tblStyle w:val="5"/>
        <w:tblW w:w="9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475"/>
        <w:gridCol w:w="7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序号</w:t>
            </w:r>
          </w:p>
        </w:tc>
        <w:tc>
          <w:tcPr>
            <w:tcW w:w="1475" w:type="dxa"/>
            <w:vAlign w:val="top"/>
          </w:tcPr>
          <w:p>
            <w:pPr>
              <w:spacing w:line="400" w:lineRule="exact"/>
              <w:jc w:val="left"/>
              <w:rPr>
                <w:rFonts w:hint="eastAsia" w:ascii="宋体" w:hAnsi="宋体"/>
                <w:b/>
                <w:color w:val="auto"/>
                <w:kern w:val="0"/>
                <w:szCs w:val="21"/>
                <w:highlight w:val="none"/>
              </w:rPr>
            </w:pPr>
            <w:r>
              <w:rPr>
                <w:rFonts w:hint="eastAsia" w:ascii="宋体" w:hAnsi="宋体"/>
                <w:b/>
                <w:color w:val="auto"/>
                <w:kern w:val="0"/>
                <w:szCs w:val="21"/>
                <w:highlight w:val="none"/>
              </w:rPr>
              <w:t>评审因素</w:t>
            </w:r>
          </w:p>
        </w:tc>
        <w:tc>
          <w:tcPr>
            <w:tcW w:w="7096" w:type="dxa"/>
            <w:vAlign w:val="top"/>
          </w:tcPr>
          <w:p>
            <w:pPr>
              <w:spacing w:line="400" w:lineRule="exact"/>
              <w:jc w:val="left"/>
              <w:rPr>
                <w:rFonts w:hint="eastAsia" w:ascii="宋体" w:hAnsi="宋体"/>
                <w:b/>
                <w:color w:val="auto"/>
                <w:kern w:val="0"/>
                <w:szCs w:val="21"/>
                <w:highlight w:val="none"/>
              </w:rPr>
            </w:pPr>
            <w:r>
              <w:rPr>
                <w:rFonts w:hint="eastAsia" w:ascii="宋体" w:hAnsi="宋体"/>
                <w:b/>
                <w:color w:val="auto"/>
                <w:kern w:val="0"/>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b/>
                <w:bCs/>
                <w:color w:val="auto"/>
                <w:kern w:val="0"/>
                <w:szCs w:val="21"/>
                <w:highlight w:val="none"/>
              </w:rPr>
            </w:pPr>
            <w:r>
              <w:rPr>
                <w:rFonts w:hint="eastAsia" w:ascii="宋体" w:hAnsi="宋体"/>
                <w:b/>
                <w:bCs/>
                <w:color w:val="auto"/>
                <w:kern w:val="0"/>
                <w:szCs w:val="21"/>
                <w:highlight w:val="none"/>
              </w:rPr>
              <w:t>1</w:t>
            </w:r>
          </w:p>
        </w:tc>
        <w:tc>
          <w:tcPr>
            <w:tcW w:w="1475"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价格分（满分</w:t>
            </w:r>
            <w:r>
              <w:rPr>
                <w:rFonts w:hint="eastAsia" w:ascii="宋体" w:hAnsi="宋体"/>
                <w:b/>
                <w:color w:val="auto"/>
                <w:kern w:val="0"/>
                <w:szCs w:val="21"/>
                <w:highlight w:val="none"/>
                <w:lang w:val="en-US" w:eastAsia="zh-CN"/>
              </w:rPr>
              <w:t>40</w:t>
            </w:r>
            <w:r>
              <w:rPr>
                <w:rFonts w:hint="eastAsia" w:ascii="宋体" w:hAnsi="宋体"/>
                <w:b/>
                <w:color w:val="auto"/>
                <w:kern w:val="0"/>
                <w:szCs w:val="21"/>
                <w:highlight w:val="none"/>
              </w:rPr>
              <w:t>分）</w:t>
            </w:r>
          </w:p>
        </w:tc>
        <w:tc>
          <w:tcPr>
            <w:tcW w:w="7096" w:type="dxa"/>
            <w:vAlign w:val="top"/>
          </w:tcPr>
          <w:p>
            <w:pPr>
              <w:spacing w:line="400" w:lineRule="exact"/>
              <w:jc w:val="left"/>
              <w:rPr>
                <w:rFonts w:hint="eastAsia" w:ascii="宋体" w:hAnsi="宋体"/>
                <w:color w:val="auto"/>
                <w:kern w:val="0"/>
                <w:szCs w:val="21"/>
                <w:highlight w:val="none"/>
              </w:rPr>
            </w:pPr>
            <w:r>
              <w:rPr>
                <w:rFonts w:hint="eastAsia" w:ascii="宋体" w:hAnsi="宋体"/>
                <w:color w:val="auto"/>
                <w:kern w:val="0"/>
                <w:szCs w:val="21"/>
                <w:highlight w:val="none"/>
              </w:rPr>
              <w:t>1.以进入比较与评价环节的最低的响应报价为基准价，基准价得分</w:t>
            </w:r>
            <w:r>
              <w:rPr>
                <w:rFonts w:hint="eastAsia" w:ascii="宋体" w:hAnsi="宋体"/>
                <w:color w:val="auto"/>
                <w:kern w:val="0"/>
                <w:szCs w:val="21"/>
                <w:highlight w:val="none"/>
                <w:lang w:val="en-US" w:eastAsia="zh-CN"/>
              </w:rPr>
              <w:t>40</w:t>
            </w:r>
            <w:r>
              <w:rPr>
                <w:rFonts w:hint="eastAsia" w:ascii="宋体" w:hAnsi="宋体"/>
                <w:color w:val="auto"/>
                <w:kern w:val="0"/>
                <w:szCs w:val="21"/>
                <w:highlight w:val="none"/>
              </w:rPr>
              <w:t>分。</w:t>
            </w:r>
          </w:p>
          <w:p>
            <w:pPr>
              <w:spacing w:line="400" w:lineRule="exact"/>
              <w:jc w:val="left"/>
              <w:rPr>
                <w:rFonts w:ascii="宋体" w:hAnsi="宋体"/>
                <w:color w:val="auto"/>
                <w:kern w:val="0"/>
                <w:szCs w:val="21"/>
                <w:highlight w:val="none"/>
              </w:rPr>
            </w:pPr>
            <w:r>
              <w:rPr>
                <w:rFonts w:hint="eastAsia" w:ascii="宋体" w:hAnsi="宋体"/>
                <w:color w:val="auto"/>
                <w:kern w:val="0"/>
                <w:szCs w:val="21"/>
                <w:highlight w:val="none"/>
              </w:rPr>
              <w:t>2.价格分计算公式：报价得分＝（基准价/最后报价）×</w:t>
            </w:r>
            <w:r>
              <w:rPr>
                <w:rFonts w:hint="eastAsia" w:ascii="宋体" w:hAnsi="宋体"/>
                <w:color w:val="auto"/>
                <w:kern w:val="0"/>
                <w:szCs w:val="21"/>
                <w:highlight w:val="none"/>
                <w:lang w:val="en-US" w:eastAsia="zh-CN"/>
              </w:rPr>
              <w:t>40</w:t>
            </w:r>
            <w:r>
              <w:rPr>
                <w:rFonts w:hint="eastAsia" w:ascii="宋体" w:hAnsi="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cs="Tahoma"/>
                <w:b/>
                <w:bCs/>
                <w:color w:val="auto"/>
                <w:kern w:val="0"/>
                <w:szCs w:val="21"/>
                <w:highlight w:val="none"/>
              </w:rPr>
            </w:pPr>
            <w:r>
              <w:rPr>
                <w:rFonts w:hint="eastAsia" w:ascii="宋体" w:hAnsi="宋体"/>
                <w:b/>
                <w:bCs/>
                <w:color w:val="auto"/>
                <w:kern w:val="0"/>
                <w:szCs w:val="21"/>
                <w:highlight w:val="none"/>
              </w:rPr>
              <w:t>2</w:t>
            </w:r>
          </w:p>
        </w:tc>
        <w:tc>
          <w:tcPr>
            <w:tcW w:w="1475" w:type="dxa"/>
            <w:vAlign w:val="top"/>
          </w:tcPr>
          <w:p>
            <w:pPr>
              <w:snapToGrid w:val="0"/>
              <w:spacing w:line="400" w:lineRule="exact"/>
              <w:jc w:val="left"/>
              <w:textAlignment w:val="baseline"/>
              <w:rPr>
                <w:rFonts w:hint="eastAsia" w:ascii="宋体" w:hAnsi="宋体"/>
                <w:b/>
                <w:bCs/>
                <w:color w:val="auto"/>
                <w:szCs w:val="21"/>
                <w:highlight w:val="none"/>
              </w:rPr>
            </w:pPr>
            <w:r>
              <w:rPr>
                <w:rFonts w:hint="eastAsia" w:ascii="宋体" w:hAnsi="宋体"/>
                <w:b/>
                <w:bCs/>
                <w:color w:val="auto"/>
                <w:szCs w:val="21"/>
                <w:highlight w:val="none"/>
              </w:rPr>
              <w:t>服务方案分（满分</w:t>
            </w:r>
            <w:r>
              <w:rPr>
                <w:rFonts w:hint="eastAsia" w:ascii="宋体" w:hAnsi="宋体"/>
                <w:b/>
                <w:bCs/>
                <w:color w:val="auto"/>
                <w:szCs w:val="21"/>
                <w:highlight w:val="none"/>
                <w:lang w:val="en-US" w:eastAsia="zh-CN"/>
              </w:rPr>
              <w:t>36</w:t>
            </w:r>
            <w:r>
              <w:rPr>
                <w:rFonts w:hint="eastAsia" w:ascii="宋体" w:hAnsi="宋体"/>
                <w:b/>
                <w:bCs/>
                <w:color w:val="auto"/>
                <w:szCs w:val="21"/>
                <w:highlight w:val="none"/>
              </w:rPr>
              <w:t>分）</w:t>
            </w:r>
          </w:p>
        </w:tc>
        <w:tc>
          <w:tcPr>
            <w:tcW w:w="7096" w:type="dxa"/>
            <w:vAlign w:val="top"/>
          </w:tcPr>
          <w:p>
            <w:pPr>
              <w:spacing w:line="400" w:lineRule="exact"/>
              <w:jc w:val="left"/>
              <w:rPr>
                <w:rFonts w:hint="eastAsia" w:ascii="宋体" w:hAnsi="宋体" w:cs="Times New Roman"/>
                <w:color w:val="auto"/>
                <w:kern w:val="0"/>
                <w:szCs w:val="21"/>
                <w:highlight w:val="none"/>
                <w:lang w:val="en-US" w:eastAsia="zh-CN"/>
              </w:rPr>
            </w:pPr>
            <w:r>
              <w:rPr>
                <w:rFonts w:hint="eastAsia" w:ascii="宋体" w:hAnsi="宋体" w:eastAsia="宋体" w:cs="Times New Roman"/>
                <w:color w:val="auto"/>
                <w:kern w:val="0"/>
                <w:szCs w:val="21"/>
                <w:highlight w:val="none"/>
                <w:lang w:val="en-US" w:eastAsia="zh-CN"/>
              </w:rPr>
              <w:t>一档（0分）：未提供方案或提供的方案不能满足二档要求；</w:t>
            </w:r>
          </w:p>
          <w:p>
            <w:pPr>
              <w:spacing w:line="400" w:lineRule="exact"/>
              <w:jc w:val="left"/>
              <w:rPr>
                <w:rFonts w:hint="eastAsia" w:ascii="宋体" w:hAnsi="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二</w:t>
            </w:r>
            <w:r>
              <w:rPr>
                <w:rFonts w:hint="eastAsia" w:ascii="宋体" w:hAnsi="宋体" w:eastAsia="宋体" w:cs="Times New Roman"/>
                <w:color w:val="auto"/>
                <w:kern w:val="0"/>
                <w:szCs w:val="21"/>
                <w:highlight w:val="none"/>
                <w:lang w:val="en-US" w:eastAsia="zh-CN"/>
              </w:rPr>
              <w:t>档（</w:t>
            </w:r>
            <w:r>
              <w:rPr>
                <w:rFonts w:hint="eastAsia" w:ascii="宋体" w:hAnsi="宋体" w:cs="Times New Roman"/>
                <w:color w:val="auto"/>
                <w:kern w:val="0"/>
                <w:szCs w:val="21"/>
                <w:highlight w:val="none"/>
                <w:lang w:val="en-US" w:eastAsia="zh-CN"/>
              </w:rPr>
              <w:t>12</w:t>
            </w:r>
            <w:r>
              <w:rPr>
                <w:rFonts w:hint="eastAsia" w:ascii="宋体" w:hAnsi="宋体" w:eastAsia="宋体" w:cs="Times New Roman"/>
                <w:color w:val="auto"/>
                <w:kern w:val="0"/>
                <w:szCs w:val="21"/>
                <w:highlight w:val="none"/>
                <w:lang w:val="en-US" w:eastAsia="zh-CN"/>
              </w:rPr>
              <w:t>分）：基本能够理解本项目的业务特点、业务目标、业务范围</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提出了基本可行的服务方案</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。以上制度、措施、服务承诺简单。</w:t>
            </w:r>
          </w:p>
          <w:p>
            <w:pPr>
              <w:spacing w:line="400" w:lineRule="exact"/>
              <w:jc w:val="left"/>
              <w:rPr>
                <w:rFonts w:hint="default" w:ascii="宋体" w:hAnsi="宋体" w:eastAsia="宋体" w:cs="Times New Roman"/>
                <w:color w:val="auto"/>
                <w:kern w:val="0"/>
                <w:szCs w:val="21"/>
                <w:highlight w:val="none"/>
                <w:lang w:val="en-US" w:eastAsia="zh-CN"/>
              </w:rPr>
            </w:pPr>
            <w:r>
              <w:rPr>
                <w:rFonts w:hint="eastAsia" w:ascii="宋体" w:hAnsi="宋体" w:cs="Times New Roman"/>
                <w:color w:val="auto"/>
                <w:kern w:val="0"/>
                <w:szCs w:val="21"/>
                <w:highlight w:val="none"/>
                <w:lang w:val="en-US" w:eastAsia="zh-CN"/>
              </w:rPr>
              <w:t>三</w:t>
            </w:r>
            <w:r>
              <w:rPr>
                <w:rFonts w:hint="eastAsia" w:ascii="宋体" w:hAnsi="宋体" w:eastAsia="宋体" w:cs="Times New Roman"/>
                <w:color w:val="auto"/>
                <w:kern w:val="0"/>
                <w:szCs w:val="21"/>
                <w:highlight w:val="none"/>
                <w:lang w:val="en-US" w:eastAsia="zh-CN"/>
              </w:rPr>
              <w:t>档（</w:t>
            </w:r>
            <w:r>
              <w:rPr>
                <w:rFonts w:hint="eastAsia" w:ascii="宋体" w:hAnsi="宋体" w:cs="Times New Roman"/>
                <w:color w:val="auto"/>
                <w:kern w:val="0"/>
                <w:szCs w:val="21"/>
                <w:highlight w:val="none"/>
                <w:lang w:val="en-US" w:eastAsia="zh-CN"/>
              </w:rPr>
              <w:t>24</w:t>
            </w:r>
            <w:r>
              <w:rPr>
                <w:rFonts w:hint="eastAsia" w:ascii="宋体" w:hAnsi="宋体" w:eastAsia="宋体" w:cs="Times New Roman"/>
                <w:color w:val="auto"/>
                <w:kern w:val="0"/>
                <w:szCs w:val="21"/>
                <w:highlight w:val="none"/>
                <w:lang w:val="en-US" w:eastAsia="zh-CN"/>
              </w:rPr>
              <w:t>分）：准确理解本项目的业务特点、业务目标、业务范围；提出完整、科学可行的服务方案</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。以上制度、措施内容具体，服务承诺</w:t>
            </w:r>
            <w:r>
              <w:rPr>
                <w:rFonts w:hint="eastAsia" w:ascii="宋体" w:hAnsi="宋体" w:eastAsia="宋体" w:cs="Times New Roman"/>
                <w:color w:val="auto"/>
                <w:kern w:val="0"/>
                <w:szCs w:val="21"/>
                <w:highlight w:val="none"/>
                <w:lang w:val="en-US" w:eastAsia="zh-CN"/>
              </w:rPr>
              <w:t>内容明确。</w:t>
            </w:r>
          </w:p>
          <w:p>
            <w:pPr>
              <w:snapToGrid w:val="0"/>
              <w:spacing w:line="400" w:lineRule="exact"/>
              <w:jc w:val="left"/>
              <w:textAlignment w:val="baseline"/>
              <w:rPr>
                <w:rFonts w:ascii="宋体" w:hAnsi="宋体"/>
                <w:b/>
                <w:bCs/>
                <w:color w:val="auto"/>
                <w:szCs w:val="21"/>
                <w:highlight w:val="none"/>
              </w:rPr>
            </w:pPr>
            <w:r>
              <w:rPr>
                <w:rFonts w:hint="eastAsia" w:ascii="宋体" w:hAnsi="宋体" w:eastAsia="宋体" w:cs="Times New Roman"/>
                <w:color w:val="auto"/>
                <w:kern w:val="0"/>
                <w:szCs w:val="21"/>
                <w:highlight w:val="none"/>
                <w:lang w:val="en-US" w:eastAsia="zh-CN"/>
              </w:rPr>
              <w:t>四档（</w:t>
            </w:r>
            <w:r>
              <w:rPr>
                <w:rFonts w:hint="eastAsia" w:ascii="宋体" w:hAnsi="宋体" w:cs="Times New Roman"/>
                <w:color w:val="auto"/>
                <w:kern w:val="0"/>
                <w:szCs w:val="21"/>
                <w:highlight w:val="none"/>
                <w:lang w:val="en-US" w:eastAsia="zh-CN"/>
              </w:rPr>
              <w:t>36</w:t>
            </w:r>
            <w:r>
              <w:rPr>
                <w:rFonts w:hint="eastAsia" w:ascii="宋体" w:hAnsi="宋体" w:eastAsia="宋体" w:cs="Times New Roman"/>
                <w:color w:val="auto"/>
                <w:kern w:val="0"/>
                <w:szCs w:val="21"/>
                <w:highlight w:val="none"/>
                <w:lang w:val="en-US" w:eastAsia="zh-CN"/>
              </w:rPr>
              <w:t>分）：在满足三档的基础上，准确理解本项目的业务特点、业务目标、业务范围；实施服务方案具有针对性</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内容详细、清晰</w:t>
            </w:r>
            <w:r>
              <w:rPr>
                <w:rFonts w:hint="eastAsia" w:ascii="宋体" w:hAnsi="宋体" w:cs="Times New Roman"/>
                <w:color w:val="auto"/>
                <w:kern w:val="0"/>
                <w:szCs w:val="21"/>
                <w:highlight w:val="none"/>
                <w:lang w:val="en-US" w:eastAsia="zh-CN"/>
              </w:rPr>
              <w:t>，包括</w:t>
            </w:r>
            <w:r>
              <w:rPr>
                <w:rFonts w:hint="eastAsia" w:ascii="宋体" w:hAnsi="宋体" w:eastAsia="宋体" w:cs="Times New Roman"/>
                <w:color w:val="auto"/>
                <w:kern w:val="0"/>
                <w:szCs w:val="21"/>
                <w:highlight w:val="none"/>
                <w:lang w:val="en-US" w:eastAsia="zh-CN"/>
              </w:rPr>
              <w:t>内部管理机制、内部防范和控制风险制度</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廉洁从业措施</w:t>
            </w:r>
            <w:r>
              <w:rPr>
                <w:rFonts w:hint="eastAsia" w:ascii="宋体" w:hAnsi="宋体" w:cs="Times New Roman"/>
                <w:color w:val="auto"/>
                <w:kern w:val="0"/>
                <w:szCs w:val="21"/>
                <w:highlight w:val="none"/>
                <w:lang w:val="en-US" w:eastAsia="zh-CN"/>
              </w:rPr>
              <w:t>、</w:t>
            </w:r>
            <w:r>
              <w:rPr>
                <w:rFonts w:ascii="宋体" w:hAnsi="宋体"/>
                <w:color w:val="auto"/>
                <w:highlight w:val="none"/>
              </w:rPr>
              <w:t>服务进度与保证措施</w:t>
            </w:r>
            <w:r>
              <w:rPr>
                <w:rFonts w:hint="eastAsia" w:ascii="宋体" w:hAnsi="宋体"/>
                <w:color w:val="auto"/>
                <w:highlight w:val="none"/>
                <w:lang w:eastAsia="zh-CN"/>
              </w:rPr>
              <w:t>、保密措施、</w:t>
            </w:r>
            <w:r>
              <w:rPr>
                <w:rFonts w:hint="eastAsia" w:ascii="宋体" w:hAnsi="宋体" w:eastAsia="宋体" w:cs="Times New Roman"/>
                <w:color w:val="auto"/>
                <w:kern w:val="0"/>
                <w:szCs w:val="21"/>
                <w:highlight w:val="none"/>
                <w:lang w:val="en-US" w:eastAsia="zh-CN"/>
              </w:rPr>
              <w:t>服务质量承诺</w:t>
            </w:r>
            <w:r>
              <w:rPr>
                <w:rFonts w:hint="eastAsia" w:ascii="宋体" w:hAnsi="宋体" w:cs="Times New Roman"/>
                <w:color w:val="auto"/>
                <w:kern w:val="0"/>
                <w:szCs w:val="21"/>
                <w:highlight w:val="none"/>
                <w:lang w:val="en-US" w:eastAsia="zh-CN"/>
              </w:rPr>
              <w:t>。以上制度、措施内容</w:t>
            </w:r>
            <w:r>
              <w:rPr>
                <w:rFonts w:hint="eastAsia" w:ascii="宋体" w:hAnsi="宋体" w:eastAsia="宋体" w:cs="Times New Roman"/>
                <w:color w:val="auto"/>
                <w:kern w:val="0"/>
                <w:szCs w:val="21"/>
                <w:highlight w:val="none"/>
                <w:lang w:val="en-US" w:eastAsia="zh-CN"/>
              </w:rPr>
              <w:t>具体详细、</w:t>
            </w:r>
            <w:r>
              <w:rPr>
                <w:rFonts w:hint="eastAsia" w:ascii="宋体" w:hAnsi="宋体" w:cs="Times New Roman"/>
                <w:color w:val="auto"/>
                <w:kern w:val="0"/>
                <w:szCs w:val="21"/>
                <w:highlight w:val="none"/>
                <w:lang w:val="en-US" w:eastAsia="zh-CN"/>
              </w:rPr>
              <w:t>健全完整，</w:t>
            </w:r>
            <w:r>
              <w:rPr>
                <w:rFonts w:hint="eastAsia" w:ascii="宋体" w:hAnsi="宋体" w:eastAsia="宋体" w:cs="Times New Roman"/>
                <w:color w:val="auto"/>
                <w:kern w:val="0"/>
                <w:szCs w:val="21"/>
                <w:highlight w:val="none"/>
                <w:lang w:val="en-US" w:eastAsia="zh-CN"/>
              </w:rPr>
              <w:t>且具有针对性</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服务</w:t>
            </w:r>
            <w:r>
              <w:rPr>
                <w:rFonts w:hint="eastAsia" w:ascii="宋体" w:hAnsi="宋体" w:cs="Times New Roman"/>
                <w:color w:val="auto"/>
                <w:kern w:val="0"/>
                <w:szCs w:val="21"/>
                <w:highlight w:val="none"/>
                <w:lang w:val="en-US" w:eastAsia="zh-CN"/>
              </w:rPr>
              <w:t>承诺内容</w:t>
            </w:r>
            <w:r>
              <w:rPr>
                <w:rFonts w:hint="eastAsia" w:ascii="宋体" w:hAnsi="宋体" w:eastAsia="宋体" w:cs="Times New Roman"/>
                <w:color w:val="auto"/>
                <w:kern w:val="0"/>
                <w:szCs w:val="21"/>
                <w:highlight w:val="none"/>
                <w:lang w:val="en-US" w:eastAsia="zh-CN"/>
              </w:rPr>
              <w:t>清晰明确</w:t>
            </w:r>
            <w:r>
              <w:rPr>
                <w:rFonts w:hint="eastAsia" w:ascii="宋体" w:hAnsi="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val="en-US" w:eastAsia="zh-CN"/>
              </w:rPr>
              <w:t>完全满足采购需求。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ascii="宋体" w:hAnsi="宋体" w:cs="Tahoma"/>
                <w:b/>
                <w:color w:val="auto"/>
                <w:kern w:val="0"/>
                <w:szCs w:val="21"/>
                <w:highlight w:val="none"/>
              </w:rPr>
            </w:pPr>
            <w:r>
              <w:rPr>
                <w:rFonts w:hint="eastAsia" w:ascii="宋体" w:hAnsi="宋体"/>
                <w:b/>
                <w:color w:val="auto"/>
                <w:kern w:val="0"/>
                <w:szCs w:val="21"/>
                <w:highlight w:val="none"/>
              </w:rPr>
              <w:t>3</w:t>
            </w:r>
          </w:p>
        </w:tc>
        <w:tc>
          <w:tcPr>
            <w:tcW w:w="1475" w:type="dxa"/>
            <w:vAlign w:val="top"/>
          </w:tcPr>
          <w:p>
            <w:pPr>
              <w:widowControl/>
              <w:snapToGrid w:val="0"/>
              <w:spacing w:line="400" w:lineRule="exact"/>
              <w:jc w:val="left"/>
              <w:textAlignment w:val="baseline"/>
              <w:rPr>
                <w:rFonts w:ascii="宋体" w:hAnsi="宋体" w:cs="Tahoma"/>
                <w:b/>
                <w:color w:val="auto"/>
                <w:kern w:val="0"/>
                <w:szCs w:val="21"/>
                <w:highlight w:val="none"/>
              </w:rPr>
            </w:pPr>
            <w:r>
              <w:rPr>
                <w:rFonts w:hint="eastAsia" w:ascii="宋体" w:hAnsi="宋体" w:cs="Courier New"/>
                <w:b/>
                <w:color w:val="auto"/>
                <w:szCs w:val="21"/>
                <w:highlight w:val="none"/>
              </w:rPr>
              <w:t>商务分（满分</w:t>
            </w:r>
            <w:r>
              <w:rPr>
                <w:rFonts w:hint="eastAsia" w:ascii="宋体" w:hAnsi="宋体" w:cs="Courier New"/>
                <w:b/>
                <w:color w:val="auto"/>
                <w:szCs w:val="21"/>
                <w:highlight w:val="none"/>
                <w:lang w:val="en-US" w:eastAsia="zh-CN"/>
              </w:rPr>
              <w:t>24</w:t>
            </w:r>
            <w:r>
              <w:rPr>
                <w:rFonts w:hint="eastAsia" w:ascii="宋体" w:hAnsi="宋体" w:cs="Courier New"/>
                <w:b/>
                <w:color w:val="auto"/>
                <w:szCs w:val="21"/>
                <w:highlight w:val="none"/>
              </w:rPr>
              <w:t>分）</w:t>
            </w:r>
          </w:p>
        </w:tc>
        <w:tc>
          <w:tcPr>
            <w:tcW w:w="7096" w:type="dxa"/>
            <w:vAlign w:val="top"/>
          </w:tcPr>
          <w:p>
            <w:pPr>
              <w:spacing w:line="400" w:lineRule="exact"/>
              <w:jc w:val="left"/>
              <w:rPr>
                <w:rFonts w:ascii="宋体" w:hAnsi="宋体"/>
                <w:b/>
                <w:color w:val="auto"/>
                <w:kern w:val="0"/>
                <w:szCs w:val="21"/>
                <w:highlight w:val="none"/>
              </w:rPr>
            </w:pPr>
            <w:r>
              <w:rPr>
                <w:rFonts w:hint="eastAsia" w:ascii="宋体" w:hAnsi="宋体"/>
                <w:b/>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spacing w:line="400" w:lineRule="exact"/>
              <w:jc w:val="left"/>
              <w:rPr>
                <w:rFonts w:hint="eastAsia" w:ascii="宋体" w:hAnsi="宋体" w:eastAsia="宋体"/>
                <w:b/>
                <w:color w:val="auto"/>
                <w:kern w:val="0"/>
                <w:szCs w:val="21"/>
                <w:highlight w:val="none"/>
                <w:lang w:val="en-US" w:eastAsia="zh-CN"/>
              </w:rPr>
            </w:pPr>
            <w:r>
              <w:rPr>
                <w:rFonts w:hint="eastAsia" w:ascii="宋体" w:hAnsi="宋体" w:cs="Tahoma"/>
                <w:color w:val="auto"/>
                <w:kern w:val="0"/>
                <w:szCs w:val="21"/>
                <w:highlight w:val="none"/>
              </w:rPr>
              <w:t>3.</w:t>
            </w:r>
            <w:r>
              <w:rPr>
                <w:rFonts w:hint="eastAsia" w:ascii="宋体" w:hAnsi="宋体" w:cs="Tahoma"/>
                <w:color w:val="auto"/>
                <w:kern w:val="0"/>
                <w:szCs w:val="21"/>
                <w:highlight w:val="none"/>
                <w:lang w:val="en-US" w:eastAsia="zh-CN"/>
              </w:rPr>
              <w:t>1</w:t>
            </w:r>
          </w:p>
        </w:tc>
        <w:tc>
          <w:tcPr>
            <w:tcW w:w="1475" w:type="dxa"/>
            <w:vAlign w:val="top"/>
          </w:tcPr>
          <w:p>
            <w:pPr>
              <w:widowControl/>
              <w:snapToGrid w:val="0"/>
              <w:spacing w:line="40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人员配置（满分</w:t>
            </w:r>
            <w:r>
              <w:rPr>
                <w:rFonts w:hint="eastAsia" w:ascii="宋体" w:hAnsi="宋体"/>
                <w:color w:val="auto"/>
                <w:szCs w:val="21"/>
                <w:highlight w:val="none"/>
                <w:lang w:val="en-US" w:eastAsia="zh-CN"/>
              </w:rPr>
              <w:t>8</w:t>
            </w:r>
            <w:r>
              <w:rPr>
                <w:rFonts w:hint="eastAsia" w:ascii="宋体" w:hAnsi="宋体"/>
                <w:color w:val="auto"/>
                <w:szCs w:val="21"/>
                <w:highlight w:val="none"/>
              </w:rPr>
              <w:t>）</w:t>
            </w:r>
          </w:p>
        </w:tc>
        <w:tc>
          <w:tcPr>
            <w:tcW w:w="7096" w:type="dxa"/>
            <w:vAlign w:val="top"/>
          </w:tcPr>
          <w:p>
            <w:pPr>
              <w:pStyle w:val="6"/>
              <w:ind w:firstLine="0" w:firstLineChars="0"/>
              <w:rPr>
                <w:rFonts w:hint="default"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供应商配备的人员在满足采购需求的基础上，每增加1名具备初级会计职称及以上人员得2分，满分8分。</w:t>
            </w:r>
          </w:p>
          <w:p>
            <w:pPr>
              <w:pStyle w:val="6"/>
              <w:ind w:firstLine="0" w:firstLineChars="0"/>
              <w:rPr>
                <w:rFonts w:hint="eastAsia" w:ascii="宋体" w:hAnsi="宋体" w:eastAsia="宋体"/>
                <w:color w:val="auto"/>
                <w:highlight w:val="none"/>
                <w:lang w:val="en-US" w:eastAsia="zh-CN"/>
              </w:rPr>
            </w:pPr>
            <w:r>
              <w:rPr>
                <w:rFonts w:hint="eastAsia" w:ascii="宋体" w:hAnsi="宋体" w:eastAsia="宋体" w:cs="Times New Roman"/>
                <w:color w:val="auto"/>
                <w:kern w:val="2"/>
                <w:sz w:val="21"/>
                <w:szCs w:val="21"/>
                <w:highlight w:val="none"/>
                <w:lang w:val="en-US" w:eastAsia="zh-CN" w:bidi="ar-SA"/>
              </w:rPr>
              <w:t>注：提供增加人员必须为供应商在职人员，且提供职称证复印件及供应商为其缴纳首次响应文件提交截止之日前半年内任意三个月社保缴费证明材料加盖单位公章，否则不计分。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widowControl/>
              <w:snapToGrid w:val="0"/>
              <w:spacing w:line="400" w:lineRule="exact"/>
              <w:jc w:val="left"/>
              <w:textAlignment w:val="baseline"/>
              <w:rPr>
                <w:rFonts w:hint="eastAsia" w:ascii="宋体" w:hAnsi="宋体" w:eastAsia="宋体" w:cs="Tahoma"/>
                <w:color w:val="auto"/>
                <w:kern w:val="0"/>
                <w:szCs w:val="21"/>
                <w:highlight w:val="none"/>
                <w:lang w:eastAsia="zh-CN"/>
              </w:rPr>
            </w:pPr>
            <w:r>
              <w:rPr>
                <w:rFonts w:hint="eastAsia" w:ascii="宋体" w:hAnsi="宋体" w:cs="Tahoma"/>
                <w:color w:val="auto"/>
                <w:kern w:val="0"/>
                <w:szCs w:val="21"/>
                <w:highlight w:val="none"/>
              </w:rPr>
              <w:t>3.</w:t>
            </w:r>
            <w:r>
              <w:rPr>
                <w:rFonts w:hint="eastAsia" w:ascii="宋体" w:hAnsi="宋体" w:cs="Tahoma"/>
                <w:color w:val="auto"/>
                <w:kern w:val="0"/>
                <w:szCs w:val="21"/>
                <w:highlight w:val="none"/>
                <w:lang w:val="en-US" w:eastAsia="zh-CN"/>
              </w:rPr>
              <w:t>2</w:t>
            </w:r>
          </w:p>
        </w:tc>
        <w:tc>
          <w:tcPr>
            <w:tcW w:w="1475" w:type="dxa"/>
            <w:vAlign w:val="top"/>
          </w:tcPr>
          <w:p>
            <w:pPr>
              <w:widowControl/>
              <w:snapToGrid w:val="0"/>
              <w:spacing w:line="400" w:lineRule="exact"/>
              <w:jc w:val="left"/>
              <w:textAlignment w:val="baseline"/>
              <w:rPr>
                <w:rFonts w:ascii="宋体" w:hAnsi="宋体"/>
                <w:color w:val="auto"/>
                <w:szCs w:val="21"/>
                <w:highlight w:val="none"/>
              </w:rPr>
            </w:pPr>
            <w:r>
              <w:rPr>
                <w:rFonts w:hint="eastAsia" w:ascii="宋体" w:hAnsi="宋体"/>
                <w:color w:val="auto"/>
                <w:szCs w:val="21"/>
                <w:highlight w:val="none"/>
              </w:rPr>
              <w:t>业绩分（满分</w:t>
            </w:r>
            <w:r>
              <w:rPr>
                <w:rFonts w:hint="eastAsia" w:ascii="宋体" w:hAnsi="宋体"/>
                <w:color w:val="auto"/>
                <w:szCs w:val="21"/>
                <w:highlight w:val="none"/>
                <w:lang w:val="en-US" w:eastAsia="zh-CN"/>
              </w:rPr>
              <w:t>14</w:t>
            </w:r>
            <w:r>
              <w:rPr>
                <w:rFonts w:hint="eastAsia" w:ascii="宋体" w:hAnsi="宋体"/>
                <w:color w:val="auto"/>
                <w:szCs w:val="21"/>
                <w:highlight w:val="none"/>
              </w:rPr>
              <w:t>分）</w:t>
            </w:r>
          </w:p>
        </w:tc>
        <w:tc>
          <w:tcPr>
            <w:tcW w:w="7096" w:type="dxa"/>
            <w:vAlign w:val="top"/>
          </w:tcPr>
          <w:p>
            <w:pPr>
              <w:widowControl/>
              <w:snapToGrid w:val="0"/>
              <w:spacing w:line="40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供应商提供202</w:t>
            </w:r>
            <w:r>
              <w:rPr>
                <w:rFonts w:hint="eastAsia" w:ascii="宋体" w:hAnsi="宋体"/>
                <w:color w:val="auto"/>
                <w:szCs w:val="21"/>
                <w:highlight w:val="none"/>
                <w:lang w:val="en-US" w:eastAsia="zh-CN"/>
              </w:rPr>
              <w:t>2</w:t>
            </w:r>
            <w:r>
              <w:rPr>
                <w:rFonts w:hint="eastAsia" w:ascii="宋体" w:hAnsi="宋体"/>
                <w:color w:val="auto"/>
                <w:szCs w:val="21"/>
                <w:highlight w:val="none"/>
              </w:rPr>
              <w:t>年以来类似服务</w:t>
            </w:r>
            <w:r>
              <w:rPr>
                <w:rFonts w:hint="eastAsia" w:ascii="宋体" w:hAnsi="宋体"/>
                <w:color w:val="auto"/>
                <w:szCs w:val="21"/>
                <w:highlight w:val="none"/>
                <w:lang w:eastAsia="zh-CN"/>
              </w:rPr>
              <w:t>（账务梳理服务、审计服务等）</w:t>
            </w:r>
            <w:r>
              <w:rPr>
                <w:rFonts w:hint="eastAsia" w:ascii="宋体" w:hAnsi="宋体"/>
                <w:color w:val="auto"/>
                <w:szCs w:val="21"/>
                <w:highlight w:val="none"/>
              </w:rPr>
              <w:t>业绩的，每项得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14</w:t>
            </w:r>
            <w:r>
              <w:rPr>
                <w:rFonts w:hint="eastAsia" w:ascii="宋体" w:hAnsi="宋体"/>
                <w:color w:val="auto"/>
                <w:szCs w:val="21"/>
                <w:highlight w:val="none"/>
              </w:rPr>
              <w:t>分。</w:t>
            </w:r>
          </w:p>
          <w:p>
            <w:pPr>
              <w:widowControl/>
              <w:snapToGrid w:val="0"/>
              <w:spacing w:line="400" w:lineRule="exact"/>
              <w:jc w:val="left"/>
              <w:textAlignment w:val="baseline"/>
              <w:rPr>
                <w:rFonts w:ascii="宋体" w:hAnsi="宋体"/>
                <w:color w:val="auto"/>
                <w:szCs w:val="21"/>
                <w:highlight w:val="none"/>
              </w:rPr>
            </w:pPr>
            <w:r>
              <w:rPr>
                <w:rFonts w:hint="eastAsia" w:ascii="宋体" w:hAnsi="宋体"/>
                <w:bCs/>
                <w:color w:val="auto"/>
                <w:szCs w:val="21"/>
                <w:highlight w:val="none"/>
              </w:rPr>
              <w:t>注：</w:t>
            </w:r>
            <w:r>
              <w:rPr>
                <w:rFonts w:hint="eastAsia" w:ascii="宋体" w:hAnsi="宋体"/>
                <w:bCs/>
                <w:color w:val="auto"/>
                <w:szCs w:val="21"/>
                <w:highlight w:val="none"/>
                <w:lang w:eastAsia="zh-CN"/>
              </w:rPr>
              <w:t>需</w:t>
            </w:r>
            <w:r>
              <w:rPr>
                <w:rFonts w:hint="eastAsia" w:ascii="宋体" w:hAnsi="宋体"/>
                <w:bCs/>
                <w:color w:val="auto"/>
                <w:szCs w:val="21"/>
                <w:highlight w:val="none"/>
              </w:rPr>
              <w:t>提供证明材料（中标通知书或项目合同或验收报告或其他履行合同）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63" w:type="dxa"/>
            <w:vAlign w:val="top"/>
          </w:tcPr>
          <w:p>
            <w:pPr>
              <w:widowControl/>
              <w:snapToGrid w:val="0"/>
              <w:spacing w:line="400" w:lineRule="exact"/>
              <w:jc w:val="left"/>
              <w:textAlignment w:val="baseline"/>
              <w:rPr>
                <w:rFonts w:hint="default"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3.3</w:t>
            </w:r>
          </w:p>
        </w:tc>
        <w:tc>
          <w:tcPr>
            <w:tcW w:w="1475" w:type="dxa"/>
            <w:vAlign w:val="top"/>
          </w:tcPr>
          <w:p>
            <w:pPr>
              <w:widowControl/>
              <w:snapToGrid w:val="0"/>
              <w:spacing w:line="400" w:lineRule="exact"/>
              <w:jc w:val="left"/>
              <w:textAlignment w:val="baseline"/>
              <w:rPr>
                <w:rFonts w:hint="eastAsia" w:ascii="宋体" w:hAnsi="宋体"/>
                <w:color w:val="auto"/>
                <w:szCs w:val="21"/>
                <w:highlight w:val="none"/>
              </w:rPr>
            </w:pPr>
            <w:r>
              <w:rPr>
                <w:rFonts w:hint="eastAsia" w:ascii="宋体" w:hAnsi="宋体"/>
                <w:color w:val="auto"/>
                <w:szCs w:val="21"/>
                <w:highlight w:val="none"/>
              </w:rPr>
              <w:t>信誉分（满分</w:t>
            </w:r>
            <w:r>
              <w:rPr>
                <w:rFonts w:hint="eastAsia" w:ascii="宋体" w:hAnsi="宋体"/>
                <w:color w:val="auto"/>
                <w:szCs w:val="21"/>
                <w:highlight w:val="none"/>
                <w:lang w:val="en-US" w:eastAsia="zh-CN"/>
              </w:rPr>
              <w:t>2</w:t>
            </w:r>
            <w:r>
              <w:rPr>
                <w:rFonts w:hint="eastAsia" w:ascii="宋体" w:hAnsi="宋体"/>
                <w:color w:val="auto"/>
                <w:szCs w:val="21"/>
                <w:highlight w:val="none"/>
              </w:rPr>
              <w:t>分）</w:t>
            </w:r>
          </w:p>
        </w:tc>
        <w:tc>
          <w:tcPr>
            <w:tcW w:w="7096" w:type="dxa"/>
            <w:vAlign w:val="top"/>
          </w:tcPr>
          <w:p>
            <w:pPr>
              <w:spacing w:line="400" w:lineRule="exact"/>
              <w:jc w:val="left"/>
              <w:rPr>
                <w:rFonts w:hint="eastAsia" w:ascii="宋体" w:hAnsi="宋体"/>
                <w:bCs/>
                <w:color w:val="auto"/>
                <w:szCs w:val="21"/>
                <w:highlight w:val="none"/>
              </w:rPr>
            </w:pPr>
            <w:r>
              <w:rPr>
                <w:rFonts w:hint="eastAsia" w:ascii="宋体" w:hAnsi="宋体"/>
                <w:color w:val="auto"/>
                <w:szCs w:val="21"/>
                <w:highlight w:val="none"/>
              </w:rPr>
              <w:t>供应商通过ISO</w:t>
            </w:r>
            <w:r>
              <w:rPr>
                <w:rFonts w:hint="eastAsia" w:ascii="宋体" w:hAnsi="宋体"/>
                <w:color w:val="auto"/>
                <w:szCs w:val="21"/>
                <w:highlight w:val="none"/>
                <w:lang w:val="en-US" w:eastAsia="zh-CN"/>
              </w:rPr>
              <w:t>9001</w:t>
            </w:r>
            <w:r>
              <w:rPr>
                <w:rFonts w:hint="eastAsia" w:ascii="宋体" w:hAnsi="宋体"/>
                <w:color w:val="auto"/>
                <w:szCs w:val="21"/>
                <w:highlight w:val="none"/>
              </w:rPr>
              <w:t>质量体系认证并在有效期内，提供</w:t>
            </w:r>
            <w:r>
              <w:rPr>
                <w:rFonts w:hint="eastAsia" w:ascii="宋体" w:hAnsi="宋体"/>
                <w:color w:val="auto"/>
                <w:szCs w:val="21"/>
                <w:highlight w:val="none"/>
                <w:lang w:eastAsia="zh-CN"/>
              </w:rPr>
              <w:t>质量管理体系认证</w:t>
            </w:r>
            <w:r>
              <w:rPr>
                <w:rFonts w:hint="eastAsia" w:ascii="宋体" w:hAnsi="宋体"/>
                <w:color w:val="auto"/>
                <w:szCs w:val="21"/>
                <w:highlight w:val="none"/>
              </w:rPr>
              <w:t>证书复印件得</w:t>
            </w:r>
            <w:r>
              <w:rPr>
                <w:rFonts w:hint="eastAsia" w:ascii="宋体" w:hAnsi="宋体"/>
                <w:color w:val="auto"/>
                <w:szCs w:val="21"/>
                <w:highlight w:val="none"/>
                <w:lang w:val="en-US" w:eastAsia="zh-CN"/>
              </w:rPr>
              <w:t>2</w:t>
            </w:r>
            <w:r>
              <w:rPr>
                <w:rFonts w:hint="eastAsia" w:ascii="宋体" w:hAnsi="宋体"/>
                <w:color w:val="auto"/>
                <w:szCs w:val="21"/>
                <w:highlight w:val="none"/>
              </w:rPr>
              <w:t>分(满分</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w:t>
            </w:r>
            <w:r>
              <w:rPr>
                <w:rFonts w:hint="eastAsia" w:ascii="宋体" w:hAnsi="宋体" w:eastAsia="宋体" w:cs="宋体"/>
                <w:i w:val="0"/>
                <w:iCs w:val="0"/>
                <w:caps w:val="0"/>
                <w:color w:val="auto"/>
                <w:spacing w:val="0"/>
                <w:sz w:val="21"/>
                <w:szCs w:val="21"/>
                <w:highlight w:val="none"/>
                <w:shd w:val="clear" w:color="auto" w:fill="FFFFFF"/>
              </w:rPr>
              <w:t>竞标人需提供有效认证证书复印件并加盖公章。</w:t>
            </w:r>
            <w:r>
              <w:rPr>
                <w:rFonts w:hint="eastAsia" w:ascii="宋体" w:hAnsi="宋体" w:eastAsia="宋体" w:cs="宋体"/>
                <w:i w:val="0"/>
                <w:iCs w:val="0"/>
                <w:caps w:val="0"/>
                <w:color w:val="auto"/>
                <w:spacing w:val="0"/>
                <w:sz w:val="21"/>
                <w:szCs w:val="21"/>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234" w:type="dxa"/>
            <w:gridSpan w:val="3"/>
            <w:vAlign w:val="top"/>
          </w:tcPr>
          <w:p>
            <w:pPr>
              <w:spacing w:line="400" w:lineRule="exact"/>
              <w:jc w:val="left"/>
              <w:rPr>
                <w:rFonts w:ascii="宋体" w:hAnsi="宋体"/>
                <w:b/>
                <w:color w:val="auto"/>
                <w:kern w:val="0"/>
                <w:szCs w:val="21"/>
                <w:highlight w:val="none"/>
              </w:rPr>
            </w:pPr>
            <w:r>
              <w:rPr>
                <w:rFonts w:hint="eastAsia" w:ascii="宋体" w:hAnsi="宋体"/>
                <w:b/>
                <w:color w:val="auto"/>
                <w:szCs w:val="21"/>
                <w:highlight w:val="none"/>
              </w:rPr>
              <w:t>总得分（满分100分）＝</w:t>
            </w:r>
            <w:r>
              <w:rPr>
                <w:rFonts w:hint="eastAsia" w:ascii="宋体" w:hAnsi="宋体" w:cs="宋体"/>
                <w:b/>
                <w:bCs/>
                <w:color w:val="auto"/>
                <w:szCs w:val="21"/>
                <w:highlight w:val="none"/>
              </w:rPr>
              <w:t>1+2+3项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13ED2"/>
    <w:rsid w:val="08EC1C8D"/>
    <w:rsid w:val="0E977151"/>
    <w:rsid w:val="11413ED2"/>
    <w:rsid w:val="13632732"/>
    <w:rsid w:val="1A4B1224"/>
    <w:rsid w:val="27E23690"/>
    <w:rsid w:val="31272B9F"/>
    <w:rsid w:val="314368D4"/>
    <w:rsid w:val="3D5075B2"/>
    <w:rsid w:val="40991AF2"/>
    <w:rsid w:val="50AD2E70"/>
    <w:rsid w:val="54C040BC"/>
    <w:rsid w:val="562B7D5C"/>
    <w:rsid w:val="5FC7576C"/>
    <w:rsid w:val="765C2982"/>
    <w:rsid w:val="7E7F3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style>
  <w:style w:type="paragraph" w:styleId="3">
    <w:name w:val="Plain Text"/>
    <w:basedOn w:val="1"/>
    <w:qFormat/>
    <w:uiPriority w:val="0"/>
    <w:rPr>
      <w:rFonts w:ascii="宋体" w:hAnsi="Courier New"/>
      <w:kern w:val="0"/>
      <w:sz w:val="20"/>
      <w:szCs w:val="20"/>
    </w:rPr>
  </w:style>
  <w:style w:type="paragraph" w:customStyle="1" w:styleId="6">
    <w:name w:val="签发人"/>
    <w:basedOn w:val="7"/>
    <w:qFormat/>
    <w:uiPriority w:val="0"/>
    <w:rPr>
      <w:rFonts w:ascii="Times New Roman" w:hAnsi="Times New Roman" w:eastAsia="楷体" w:cs="仿宋_GB2312"/>
      <w:sz w:val="32"/>
      <w:szCs w:val="32"/>
    </w:rPr>
  </w:style>
  <w:style w:type="paragraph" w:customStyle="1" w:styleId="7">
    <w:name w:val="正文1"/>
    <w:basedOn w:val="3"/>
    <w:next w:val="8"/>
    <w:qFormat/>
    <w:uiPriority w:val="0"/>
    <w:pPr>
      <w:spacing w:line="440" w:lineRule="exact"/>
      <w:ind w:firstLine="200" w:firstLineChars="200"/>
      <w:jc w:val="left"/>
    </w:pPr>
    <w:rPr>
      <w:rFonts w:hAnsi="宋体"/>
      <w:sz w:val="21"/>
      <w:szCs w:val="21"/>
    </w:rPr>
  </w:style>
  <w:style w:type="paragraph" w:customStyle="1" w:styleId="8">
    <w:name w:val="UserStyle_0"/>
    <w:basedOn w:val="9"/>
    <w:next w:val="1"/>
    <w:qFormat/>
    <w:uiPriority w:val="0"/>
    <w:pPr>
      <w:jc w:val="both"/>
      <w:textAlignment w:val="baseline"/>
    </w:pPr>
    <w:rPr>
      <w:rFonts w:ascii="Calibri" w:hAnsi="Calibri" w:eastAsia="楷体"/>
      <w:kern w:val="2"/>
      <w:sz w:val="21"/>
      <w:szCs w:val="24"/>
      <w:lang w:val="en-US" w:eastAsia="zh-CN" w:bidi="ar-SA"/>
    </w:rPr>
  </w:style>
  <w:style w:type="paragraph" w:customStyle="1" w:styleId="9">
    <w:name w:val="Heading1"/>
    <w:basedOn w:val="1"/>
    <w:next w:val="1"/>
    <w:qFormat/>
    <w:uiPriority w:val="0"/>
    <w:pPr>
      <w:spacing w:before="100" w:beforeAutospacing="1" w:after="100" w:afterAutospacing="1"/>
      <w:jc w:val="left"/>
      <w:textAlignment w:val="baseline"/>
    </w:pPr>
    <w:rPr>
      <w:rFonts w:ascii="宋体" w:hAnsi="宋体" w:eastAsia="宋体" w:cs="宋体"/>
      <w:b/>
      <w:bCs/>
      <w:kern w:val="44"/>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2025-04-09T09:48:00Z</dcterms:created>
  <dc:creator>Administrator</dc:creator>
  <cp:lastModifiedBy>Administrator</cp:lastModifiedBy>
  <cp:lastPrinted>2025-05-14T02:54:00Z</cp:lastPrinted>
  <dcterms:modified xsi:type="dcterms:W3CDTF">2025-05-14T03:00:45Z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