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keepNext w:val="0"/>
        <w:keepLines w:val="0"/>
        <w:pageBreakBefore w:val="0"/>
        <w:widowControl w:val="0"/>
        <w:kinsoku/>
        <w:wordWrap/>
        <w:overflowPunct/>
        <w:topLinePunct w:val="0"/>
        <w:autoSpaceDE/>
        <w:autoSpaceDN/>
        <w:bidi w:val="0"/>
        <w:snapToGrid/>
        <w:spacing w:line="560" w:lineRule="exact"/>
        <w:textAlignment w:val="auto"/>
        <w:rPr>
          <w:rFonts w:hint="eastAsia"/>
          <w:sz w:val="44"/>
          <w:szCs w:val="44"/>
          <w:lang w:eastAsia="zh-CN"/>
        </w:rPr>
      </w:pPr>
      <w:r>
        <w:rPr>
          <w:rFonts w:hint="eastAsia"/>
          <w:sz w:val="44"/>
          <w:szCs w:val="44"/>
          <w:lang w:eastAsia="zh-CN"/>
        </w:rPr>
        <w:t>采购项目需求</w:t>
      </w:r>
    </w:p>
    <w:p>
      <w:pPr>
        <w:keepNext w:val="0"/>
        <w:keepLines w:val="0"/>
        <w:pageBreakBefore w:val="0"/>
        <w:widowControl w:val="0"/>
        <w:numPr>
          <w:ilvl w:val="0"/>
          <w:numId w:val="1"/>
        </w:numPr>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项目情况</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b w:val="0"/>
          <w:bCs w:val="0"/>
          <w:i w:val="0"/>
          <w:iCs w:val="0"/>
          <w:caps w:val="0"/>
          <w:color w:val="000000"/>
          <w:spacing w:val="0"/>
          <w:kern w:val="0"/>
          <w:sz w:val="32"/>
          <w:szCs w:val="32"/>
          <w:shd w:val="clear" w:color="auto" w:fill="FFFFFF"/>
          <w:lang w:val="en-US" w:eastAsia="zh-CN" w:bidi="ar"/>
        </w:rPr>
        <w:t>内部控制评价</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结合我局内部控制建设实际情况，对我局内部控制建立和执行的有效性进行评价，主要包括管理层面和业务层面。</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管理层面在全面考虑经济活动的决策、执行和监督全过程的基础上，关注主要经济活动以及可能产生的重大风险，包括：组织架构、运行机制、关键岗位与人员、财务、信息系统等方面的内部管理情况。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业务层面围绕经济业务活动的关键流程开展，主要涵盖以下六大经济业务领域：</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1.预算业务管理。包括预算编制、审批、执行、调整、决算等环节。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2.收支业务管理。包括收入收缴、支出审批、费用报销等流程。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3.政府采购管理。涵盖采购计划、招标投标、合同签订、履约验收等过程。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4.国有资产管理。涉及资产配置、使用、处置、收益等各环节。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5.建设项目管理。包括项目立项、招标、施工、验收、结算等流程。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6.合同管理。覆盖合同订立、履行、变更、终止等全过程。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t>（二）</w:t>
      </w:r>
      <w:r>
        <w:rPr>
          <w:rFonts w:hint="eastAsia" w:ascii="Times New Roman" w:hAnsi="Times New Roman" w:eastAsia="楷体_GB2312" w:cs="Times New Roman"/>
          <w:i w:val="0"/>
          <w:iCs w:val="0"/>
          <w:caps w:val="0"/>
          <w:color w:val="000000"/>
          <w:spacing w:val="0"/>
          <w:kern w:val="0"/>
          <w:sz w:val="32"/>
          <w:szCs w:val="32"/>
          <w:shd w:val="clear" w:color="auto" w:fill="FFFFFF"/>
          <w:lang w:val="en-US" w:eastAsia="zh-CN" w:bidi="ar"/>
        </w:rPr>
        <w:t>内部控制</w:t>
      </w:r>
      <w:r>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t>风险评估</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评价</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实际情况，对内部控制工作开展过程中可能出现的影响控制目标实现的不确定因素进行风险识别和成因分析，根据内部控制缺陷可能导致的风险程度，按重大风险、重要风险与一般风险进行分类，对内部控制制度建立和执行情况的</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风险情况</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进行</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评估</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，提出整改建议等。</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二、工作目标</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（一）系统识别内控风险</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通过梳理体育局各项业务流程，准确识别关键风险点，科学评估风险等级，构建关键领域的风险矩阵，提高风险管理的全面性和客观性。</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提升风险管理规范</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通过明确关键风险识别、风险等级评估、重大风险应对等工作要求，推动风险定期评估管理体系建设，提升风险管理的规范化和标准化。</w:t>
      </w:r>
    </w:p>
    <w:p>
      <w:pPr>
        <w:keepNext w:val="0"/>
        <w:keepLines w:val="0"/>
        <w:pageBreakBefore w:val="0"/>
        <w:widowControl w:val="0"/>
        <w:numPr>
          <w:ilvl w:val="0"/>
          <w:numId w:val="2"/>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促进内控效能提升</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通过关键领域的风险防控体系建设，为内控体系持续完善提供改进依据，为领导决策提供风险管理依据，为体育局治理能力和水平提升提供支持。</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三、工作原则</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本次评估工作</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遵循以下原则：</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全面性原则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评估范围覆盖单位经纪业务所有业务部门和关键岗位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重要性原则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重点关注资金密集、权力集中、风险易发的关键领域</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客观性原则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基于事实依据，采用科学方法进行风险评估</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实效性原则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确保评估结果可转化、可落地，防控措施切实可行</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持续性原则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建立动态评估机制，实现风险管理的常态化。</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四、工作依据</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本次工作依据包括但不限于以下内容：</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《中华人民共和国</w:t>
      </w:r>
      <w:bookmarkStart w:id="0" w:name="_Hlk194327418"/>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预算法</w:t>
      </w:r>
      <w:bookmarkEnd w:id="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华人民共和国预算法实施条例》《中华人民共和国政府采购法》《中华人民共和国政府采购法实施条例》《行政事业性国有资产管理条例》《行政事业单位内部控制规范（试行）》（财会〔2012〕21号）《关于全面推进行政事业单位内部控制建设的指导意见》（财会〔2015〕24号）《行政事业单位内部控制报告管理制度》（财会〔2017〕1号）《关于进一步加强财会监督工作的意见》（中办发〔2023〕4号）《广西进一步加强财会监督工作实施方案》（桂办发〔2023〕16号）以及</w:t>
      </w:r>
      <w:r>
        <w:rPr>
          <w:rFonts w:hint="default" w:ascii="Times New Roman" w:hAnsi="Times New Roman" w:eastAsia="仿宋_GB2312" w:cs="Times New Roman"/>
          <w:color w:val="000000" w:themeColor="text1"/>
          <w:sz w:val="32"/>
          <w:szCs w:val="32"/>
          <w14:textFill>
            <w14:solidFill>
              <w14:schemeClr w14:val="tx1"/>
            </w14:solidFill>
          </w14:textFill>
        </w:rPr>
        <w:t>体育局内部控制相关管理制度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五、工作内容</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（一）制定内部控制评价和内部控制风险评估工作方案，包括工作计划、人员投入情况、提交成功时间、服务质量承诺等。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（二）根据工作方案开展内部控制评价和内部控制风险评估工作。</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、工作成果</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（一）提交《广西壮族自治区体育局内部控制评价报告》。应包括真实性声明、评价工作总体情况、评价依据、评价范围、评价程序、评价方法、评价结论、整改建议等内容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（二）提交《广西壮族自治区体育局内部控制风险评估报告》。应包括发现的内部控制缺陷、风险及其认定依据、风险的性质与类型、应对重大重要缺陷风险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整改建议及内部控制风险认定汇总表等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七、其他要求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（一）人员要求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项目负责人要求具备正高级职称，具有行政事业单位内部控制评价和风险评估项目工作经验。</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除项目负责人外，团队成员不少于2人，具有行政事业单位内部控制评价和风险评估项目工作经</w:t>
      </w:r>
      <w:bookmarkStart w:id="1" w:name="_GoBack"/>
      <w:bookmarkEnd w:id="1"/>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验。</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（二）进度要求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原则签订合同后两个月内完成项目合同约定内容。以项目实际推进情况为准。</w:t>
      </w: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638175"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17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0.5pt;width:50.25pt;mso-position-horizontal:outside;mso-position-horizontal-relative:margin;z-index:251658240;mso-width-relative:page;mso-height-relative:page;" filled="f" stroked="f" coordsize="21600,21600" o:gfxdata="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FBHE1gAAAAYBAAAPAAAA&#10;AAAAAAEAIAAAACIAAABkcnMvZG93bnJldi54bWxQSwECFAAUAAAACACHTuJAeiPLMRcCAAATBAAA&#10;DgAAAAAAAAABACAAAAAlAQAAZHJzL2Uyb0RvYy54bWxQSwUGAAAAAAYABgBZAQAArgUAAAAA&#10;">
              <v:fill on="f" focussize="0,0"/>
              <v:stroke on="f" weight="0.5pt"/>
              <v:imagedata o:title=""/>
              <o:lock v:ext="edit" aspectratio="f"/>
              <v:textbox inset="0mm,0mm,0mm,0mm">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58E6D"/>
    <w:multiLevelType w:val="singleLevel"/>
    <w:tmpl w:val="96858E6D"/>
    <w:lvl w:ilvl="0" w:tentative="0">
      <w:start w:val="1"/>
      <w:numFmt w:val="chineseCounting"/>
      <w:suff w:val="nothing"/>
      <w:lvlText w:val="%1、"/>
      <w:lvlJc w:val="left"/>
      <w:rPr>
        <w:rFonts w:hint="eastAsia"/>
      </w:rPr>
    </w:lvl>
  </w:abstractNum>
  <w:abstractNum w:abstractNumId="1">
    <w:nsid w:val="0F95AD93"/>
    <w:multiLevelType w:val="singleLevel"/>
    <w:tmpl w:val="0F95AD93"/>
    <w:lvl w:ilvl="0" w:tentative="0">
      <w:start w:val="3"/>
      <w:numFmt w:val="chineseCounting"/>
      <w:suff w:val="nothing"/>
      <w:lvlText w:val="（%1）"/>
      <w:lvlJc w:val="left"/>
      <w:rPr>
        <w:rFonts w:hint="eastAsia"/>
      </w:rPr>
    </w:lvl>
  </w:abstractNum>
  <w:abstractNum w:abstractNumId="2">
    <w:nsid w:val="5EBC5CDE"/>
    <w:multiLevelType w:val="singleLevel"/>
    <w:tmpl w:val="5EBC5CD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817F7"/>
    <w:rsid w:val="05BC284F"/>
    <w:rsid w:val="09EA18CA"/>
    <w:rsid w:val="112D7148"/>
    <w:rsid w:val="117A3D3B"/>
    <w:rsid w:val="18E468D9"/>
    <w:rsid w:val="1FA777F7"/>
    <w:rsid w:val="30D42908"/>
    <w:rsid w:val="30EF676B"/>
    <w:rsid w:val="30F562C2"/>
    <w:rsid w:val="31211707"/>
    <w:rsid w:val="3E605C2B"/>
    <w:rsid w:val="478B2EC8"/>
    <w:rsid w:val="4A7C1A76"/>
    <w:rsid w:val="530715BF"/>
    <w:rsid w:val="55D33AD5"/>
    <w:rsid w:val="562B75F9"/>
    <w:rsid w:val="5B546F4A"/>
    <w:rsid w:val="659451EE"/>
    <w:rsid w:val="6CF817F7"/>
    <w:rsid w:val="73A475FC"/>
    <w:rsid w:val="74E3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jc w:val="both"/>
    </w:pPr>
    <w:rPr>
      <w:rFonts w:ascii="仿宋" w:hAnsi="仿宋" w:eastAsia="仿宋" w:cstheme="minorBidi"/>
      <w:kern w:val="2"/>
      <w:sz w:val="24"/>
      <w:szCs w:val="28"/>
      <w:lang w:val="en-US" w:eastAsia="zh-CN" w:bidi="ar-SA"/>
    </w:rPr>
  </w:style>
  <w:style w:type="paragraph" w:styleId="2">
    <w:name w:val="heading 1"/>
    <w:basedOn w:val="1"/>
    <w:next w:val="1"/>
    <w:qFormat/>
    <w:uiPriority w:val="9"/>
    <w:pPr>
      <w:keepNext/>
      <w:keepLines/>
      <w:ind w:firstLine="482"/>
      <w:outlineLvl w:val="0"/>
    </w:pPr>
    <w:rPr>
      <w:rFonts w:ascii="黑体" w:hAnsi="黑体" w:eastAsia="黑体"/>
      <w:b/>
      <w:bCs/>
      <w:kern w:val="44"/>
      <w:szCs w:val="24"/>
    </w:rPr>
  </w:style>
  <w:style w:type="paragraph" w:styleId="3">
    <w:name w:val="heading 2"/>
    <w:basedOn w:val="1"/>
    <w:next w:val="1"/>
    <w:unhideWhenUsed/>
    <w:qFormat/>
    <w:uiPriority w:val="9"/>
    <w:pPr>
      <w:ind w:firstLine="482"/>
      <w:outlineLvl w:val="1"/>
    </w:pPr>
    <w:rPr>
      <w:rFonts w:ascii="楷体" w:hAnsi="楷体" w:eastAsia="楷体"/>
      <w:b/>
      <w:bCs/>
      <w:szCs w:val="24"/>
    </w:rPr>
  </w:style>
  <w:style w:type="paragraph" w:styleId="4">
    <w:name w:val="heading 3"/>
    <w:basedOn w:val="1"/>
    <w:next w:val="1"/>
    <w:unhideWhenUsed/>
    <w:qFormat/>
    <w:uiPriority w:val="9"/>
    <w:pPr>
      <w:keepNext/>
      <w:keepLines/>
      <w:ind w:firstLine="482"/>
      <w:outlineLvl w:val="2"/>
    </w:pPr>
    <w:rPr>
      <w:b/>
      <w:bCs/>
      <w:szCs w:val="2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ind w:firstLine="0" w:firstLineChars="0"/>
      <w:jc w:val="center"/>
      <w:outlineLvl w:val="0"/>
    </w:pPr>
    <w:rPr>
      <w:rFonts w:ascii="方正小标宋简体" w:hAnsi="方正小标宋简体" w:eastAsia="方正小标宋简体" w:cstheme="majorBidi"/>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2025-04-11T02:02:00Z</dcterms:created>
  <dc:creator>Administrator</dc:creator>
  <cp:lastModifiedBy>Administrator</cp:lastModifiedBy>
  <dcterms:modified xsi:type="dcterms:W3CDTF">2025-07-16T08:40:20Z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