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黑体" w:hAnsi="黑体" w:eastAsia="黑体" w:cs="黑体"/>
          <w:b w:val="0"/>
          <w:bCs/>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eastAsia="zh-CN"/>
        </w:rPr>
        <w:t>附件</w:t>
      </w:r>
      <w:r>
        <w:rPr>
          <w:rFonts w:hint="eastAsia" w:ascii="黑体" w:hAnsi="黑体" w:eastAsia="黑体" w:cs="黑体"/>
          <w:b w:val="0"/>
          <w:bCs/>
          <w:color w:val="auto"/>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_GBK" w:hAnsi="方正小标宋_GBK" w:eastAsia="方正小标宋_GBK" w:cs="方正小标宋_GBK"/>
          <w:b w:val="0"/>
          <w:bCs/>
          <w:sz w:val="32"/>
          <w:szCs w:val="32"/>
          <w:highlight w:val="none"/>
          <w:lang w:val="en-US" w:eastAsia="zh-CN"/>
        </w:rPr>
      </w:pPr>
      <w:r>
        <w:rPr>
          <w:rFonts w:hint="eastAsia" w:ascii="方正小标宋_GBK" w:hAnsi="方正小标宋_GBK" w:eastAsia="方正小标宋_GBK" w:cs="方正小标宋_GBK"/>
          <w:b w:val="0"/>
          <w:bCs/>
          <w:sz w:val="32"/>
          <w:szCs w:val="32"/>
          <w:highlight w:val="none"/>
          <w:lang w:val="en-US" w:eastAsia="zh-CN"/>
        </w:rPr>
        <w:t>项目评审标准</w:t>
      </w:r>
    </w:p>
    <w:tbl>
      <w:tblPr>
        <w:tblStyle w:val="5"/>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75"/>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b/>
                <w:color w:val="auto"/>
                <w:kern w:val="0"/>
                <w:szCs w:val="21"/>
                <w:highlight w:val="none"/>
              </w:rPr>
            </w:pPr>
            <w:r>
              <w:rPr>
                <w:rFonts w:hint="eastAsia" w:ascii="宋体" w:hAnsi="宋体"/>
                <w:b/>
                <w:color w:val="auto"/>
                <w:kern w:val="0"/>
                <w:szCs w:val="21"/>
                <w:highlight w:val="none"/>
              </w:rPr>
              <w:t>序号</w:t>
            </w:r>
          </w:p>
        </w:tc>
        <w:tc>
          <w:tcPr>
            <w:tcW w:w="1475" w:type="dxa"/>
            <w:vAlign w:val="top"/>
          </w:tcPr>
          <w:p>
            <w:pPr>
              <w:spacing w:line="400" w:lineRule="exact"/>
              <w:jc w:val="left"/>
              <w:rPr>
                <w:rFonts w:hint="eastAsia" w:ascii="宋体" w:hAnsi="宋体"/>
                <w:b/>
                <w:color w:val="auto"/>
                <w:kern w:val="0"/>
                <w:szCs w:val="21"/>
                <w:highlight w:val="none"/>
              </w:rPr>
            </w:pPr>
            <w:r>
              <w:rPr>
                <w:rFonts w:hint="eastAsia" w:ascii="宋体" w:hAnsi="宋体"/>
                <w:b/>
                <w:color w:val="auto"/>
                <w:kern w:val="0"/>
                <w:szCs w:val="21"/>
                <w:highlight w:val="none"/>
              </w:rPr>
              <w:t>评审因素</w:t>
            </w:r>
          </w:p>
        </w:tc>
        <w:tc>
          <w:tcPr>
            <w:tcW w:w="7096" w:type="dxa"/>
            <w:vAlign w:val="top"/>
          </w:tcPr>
          <w:p>
            <w:pPr>
              <w:spacing w:line="400" w:lineRule="exact"/>
              <w:jc w:val="left"/>
              <w:rPr>
                <w:rFonts w:hint="eastAsia" w:ascii="宋体" w:hAnsi="宋体"/>
                <w:b/>
                <w:color w:val="auto"/>
                <w:kern w:val="0"/>
                <w:szCs w:val="21"/>
                <w:highlight w:val="none"/>
              </w:rPr>
            </w:pPr>
            <w:r>
              <w:rPr>
                <w:rFonts w:hint="eastAsia" w:ascii="宋体" w:hAnsi="宋体"/>
                <w:b/>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b/>
                <w:bCs/>
                <w:color w:val="auto"/>
                <w:kern w:val="0"/>
                <w:szCs w:val="21"/>
                <w:highlight w:val="none"/>
              </w:rPr>
            </w:pPr>
            <w:r>
              <w:rPr>
                <w:rFonts w:hint="eastAsia" w:ascii="宋体" w:hAnsi="宋体"/>
                <w:b/>
                <w:bCs/>
                <w:color w:val="auto"/>
                <w:kern w:val="0"/>
                <w:szCs w:val="21"/>
                <w:highlight w:val="none"/>
              </w:rPr>
              <w:t>1</w:t>
            </w:r>
          </w:p>
        </w:tc>
        <w:tc>
          <w:tcPr>
            <w:tcW w:w="1475" w:type="dxa"/>
            <w:vAlign w:val="top"/>
          </w:tcPr>
          <w:p>
            <w:pPr>
              <w:spacing w:line="400" w:lineRule="exact"/>
              <w:jc w:val="left"/>
              <w:rPr>
                <w:rFonts w:ascii="宋体" w:hAnsi="宋体"/>
                <w:b/>
                <w:color w:val="auto"/>
                <w:kern w:val="0"/>
                <w:szCs w:val="21"/>
                <w:highlight w:val="none"/>
              </w:rPr>
            </w:pPr>
            <w:r>
              <w:rPr>
                <w:rFonts w:hint="eastAsia" w:ascii="宋体" w:hAnsi="宋体"/>
                <w:b/>
                <w:color w:val="auto"/>
                <w:kern w:val="0"/>
                <w:szCs w:val="21"/>
                <w:highlight w:val="none"/>
              </w:rPr>
              <w:t>价格分（满分</w:t>
            </w:r>
            <w:r>
              <w:rPr>
                <w:rFonts w:hint="eastAsia" w:ascii="宋体" w:hAnsi="宋体"/>
                <w:b/>
                <w:color w:val="auto"/>
                <w:kern w:val="0"/>
                <w:szCs w:val="21"/>
                <w:highlight w:val="none"/>
                <w:lang w:val="en-US" w:eastAsia="zh-CN"/>
              </w:rPr>
              <w:t>30</w:t>
            </w:r>
            <w:r>
              <w:rPr>
                <w:rFonts w:hint="eastAsia" w:ascii="宋体" w:hAnsi="宋体"/>
                <w:b/>
                <w:color w:val="auto"/>
                <w:kern w:val="0"/>
                <w:szCs w:val="21"/>
                <w:highlight w:val="none"/>
              </w:rPr>
              <w:t>分）</w:t>
            </w:r>
          </w:p>
        </w:tc>
        <w:tc>
          <w:tcPr>
            <w:tcW w:w="7096" w:type="dxa"/>
            <w:vAlign w:val="top"/>
          </w:tcPr>
          <w:p>
            <w:pPr>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1.最低的响应报价为基准价，基准价得分</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分。</w:t>
            </w:r>
          </w:p>
          <w:p>
            <w:pPr>
              <w:spacing w:line="400" w:lineRule="exact"/>
              <w:jc w:val="left"/>
              <w:rPr>
                <w:rFonts w:ascii="宋体" w:hAnsi="宋体"/>
                <w:color w:val="auto"/>
                <w:kern w:val="0"/>
                <w:szCs w:val="21"/>
                <w:highlight w:val="none"/>
              </w:rPr>
            </w:pPr>
            <w:r>
              <w:rPr>
                <w:rFonts w:hint="eastAsia" w:ascii="宋体" w:hAnsi="宋体"/>
                <w:color w:val="auto"/>
                <w:kern w:val="0"/>
                <w:szCs w:val="21"/>
                <w:highlight w:val="none"/>
              </w:rPr>
              <w:t>2.价格分计算公式：报价得分＝（基准价/报价）×</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cs="Tahoma"/>
                <w:b/>
                <w:bCs/>
                <w:color w:val="auto"/>
                <w:kern w:val="0"/>
                <w:szCs w:val="21"/>
                <w:highlight w:val="none"/>
              </w:rPr>
            </w:pPr>
            <w:r>
              <w:rPr>
                <w:rFonts w:hint="eastAsia" w:ascii="宋体" w:hAnsi="宋体"/>
                <w:b/>
                <w:bCs/>
                <w:color w:val="auto"/>
                <w:kern w:val="0"/>
                <w:szCs w:val="21"/>
                <w:highlight w:val="none"/>
              </w:rPr>
              <w:t>2</w:t>
            </w:r>
          </w:p>
        </w:tc>
        <w:tc>
          <w:tcPr>
            <w:tcW w:w="1475" w:type="dxa"/>
            <w:vAlign w:val="top"/>
          </w:tcPr>
          <w:p>
            <w:pPr>
              <w:snapToGrid w:val="0"/>
              <w:spacing w:line="400" w:lineRule="exact"/>
              <w:jc w:val="left"/>
              <w:textAlignment w:val="baseline"/>
              <w:rPr>
                <w:rFonts w:hint="eastAsia" w:ascii="宋体" w:hAnsi="宋体"/>
                <w:b/>
                <w:bCs/>
                <w:color w:val="auto"/>
                <w:szCs w:val="21"/>
                <w:highlight w:val="none"/>
              </w:rPr>
            </w:pPr>
            <w:r>
              <w:rPr>
                <w:rFonts w:hint="eastAsia" w:ascii="宋体" w:hAnsi="宋体"/>
                <w:b/>
                <w:bCs/>
                <w:color w:val="auto"/>
                <w:szCs w:val="21"/>
                <w:highlight w:val="none"/>
              </w:rPr>
              <w:t>服务方案分（满分</w:t>
            </w:r>
            <w:r>
              <w:rPr>
                <w:rFonts w:hint="eastAsia" w:ascii="宋体" w:hAnsi="宋体"/>
                <w:b/>
                <w:bCs/>
                <w:color w:val="auto"/>
                <w:szCs w:val="21"/>
                <w:highlight w:val="none"/>
                <w:lang w:val="en-US" w:eastAsia="zh-CN"/>
              </w:rPr>
              <w:t>45</w:t>
            </w:r>
            <w:r>
              <w:rPr>
                <w:rFonts w:hint="eastAsia" w:ascii="宋体" w:hAnsi="宋体"/>
                <w:b/>
                <w:bCs/>
                <w:color w:val="auto"/>
                <w:szCs w:val="21"/>
                <w:highlight w:val="none"/>
              </w:rPr>
              <w:t>分）</w:t>
            </w:r>
          </w:p>
        </w:tc>
        <w:tc>
          <w:tcPr>
            <w:tcW w:w="7096" w:type="dxa"/>
            <w:vAlign w:val="top"/>
          </w:tcPr>
          <w:p>
            <w:pPr>
              <w:spacing w:line="400" w:lineRule="exact"/>
              <w:jc w:val="left"/>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一</w:t>
            </w:r>
            <w:r>
              <w:rPr>
                <w:rFonts w:hint="eastAsia" w:ascii="宋体" w:hAnsi="宋体" w:eastAsia="宋体" w:cs="Times New Roman"/>
                <w:color w:val="auto"/>
                <w:kern w:val="0"/>
                <w:szCs w:val="21"/>
                <w:highlight w:val="none"/>
                <w:lang w:val="en-US" w:eastAsia="zh-CN"/>
              </w:rPr>
              <w:t>档（</w:t>
            </w:r>
            <w:r>
              <w:rPr>
                <w:rFonts w:hint="eastAsia" w:ascii="宋体" w:hAnsi="宋体" w:cs="Times New Roman"/>
                <w:color w:val="auto"/>
                <w:kern w:val="0"/>
                <w:szCs w:val="21"/>
                <w:highlight w:val="none"/>
                <w:lang w:val="en-US" w:eastAsia="zh-CN"/>
              </w:rPr>
              <w:t>15</w:t>
            </w:r>
            <w:r>
              <w:rPr>
                <w:rFonts w:hint="eastAsia" w:ascii="宋体" w:hAnsi="宋体" w:eastAsia="宋体" w:cs="Times New Roman"/>
                <w:color w:val="auto"/>
                <w:kern w:val="0"/>
                <w:szCs w:val="21"/>
                <w:highlight w:val="none"/>
                <w:lang w:val="en-US" w:eastAsia="zh-CN"/>
              </w:rPr>
              <w:t>分）：基本能够理解本项目的业务特点、业务目标、业务范围</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提出了基本可行的服务方案</w:t>
            </w:r>
            <w:r>
              <w:rPr>
                <w:rFonts w:hint="eastAsia" w:ascii="宋体" w:hAnsi="宋体" w:cs="Times New Roman"/>
                <w:color w:val="auto"/>
                <w:kern w:val="0"/>
                <w:szCs w:val="21"/>
                <w:highlight w:val="none"/>
                <w:lang w:val="en-US" w:eastAsia="zh-CN"/>
              </w:rPr>
              <w:t>，包括</w:t>
            </w:r>
            <w:r>
              <w:rPr>
                <w:rFonts w:hint="eastAsia" w:ascii="宋体" w:hAnsi="宋体" w:eastAsia="宋体" w:cs="Times New Roman"/>
                <w:color w:val="auto"/>
                <w:kern w:val="0"/>
                <w:szCs w:val="21"/>
                <w:highlight w:val="none"/>
                <w:lang w:val="en-US" w:eastAsia="zh-CN"/>
              </w:rPr>
              <w:t>内部管理机制</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内部防范和控制风险制度</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廉洁从业措施</w:t>
            </w:r>
            <w:r>
              <w:rPr>
                <w:rFonts w:hint="eastAsia" w:ascii="宋体" w:hAnsi="宋体" w:cs="Times New Roman"/>
                <w:color w:val="auto"/>
                <w:kern w:val="0"/>
                <w:szCs w:val="21"/>
                <w:highlight w:val="none"/>
                <w:lang w:val="en-US" w:eastAsia="zh-CN"/>
              </w:rPr>
              <w:t>、</w:t>
            </w:r>
            <w:r>
              <w:rPr>
                <w:rFonts w:ascii="宋体" w:hAnsi="宋体"/>
                <w:color w:val="auto"/>
                <w:highlight w:val="none"/>
              </w:rPr>
              <w:t>服务进度与保证措施</w:t>
            </w:r>
            <w:r>
              <w:rPr>
                <w:rFonts w:hint="eastAsia" w:ascii="宋体" w:hAnsi="宋体"/>
                <w:color w:val="auto"/>
                <w:highlight w:val="none"/>
                <w:lang w:eastAsia="zh-CN"/>
              </w:rPr>
              <w:t>、保密措施、</w:t>
            </w:r>
            <w:r>
              <w:rPr>
                <w:rFonts w:hint="eastAsia" w:ascii="宋体" w:hAnsi="宋体" w:eastAsia="宋体" w:cs="Times New Roman"/>
                <w:color w:val="auto"/>
                <w:kern w:val="0"/>
                <w:szCs w:val="21"/>
                <w:highlight w:val="none"/>
                <w:lang w:val="en-US" w:eastAsia="zh-CN"/>
              </w:rPr>
              <w:t>服务质量承诺</w:t>
            </w:r>
            <w:r>
              <w:rPr>
                <w:rFonts w:hint="eastAsia" w:ascii="宋体" w:hAnsi="宋体" w:cs="Times New Roman"/>
                <w:color w:val="auto"/>
                <w:kern w:val="0"/>
                <w:szCs w:val="21"/>
                <w:highlight w:val="none"/>
                <w:lang w:val="en-US" w:eastAsia="zh-CN"/>
              </w:rPr>
              <w:t>。以上制度、措施、服务承诺简单。</w:t>
            </w:r>
          </w:p>
          <w:p>
            <w:pPr>
              <w:spacing w:line="400" w:lineRule="exact"/>
              <w:jc w:val="left"/>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二</w:t>
            </w:r>
            <w:r>
              <w:rPr>
                <w:rFonts w:hint="eastAsia" w:ascii="宋体" w:hAnsi="宋体" w:eastAsia="宋体" w:cs="Times New Roman"/>
                <w:color w:val="auto"/>
                <w:kern w:val="0"/>
                <w:szCs w:val="21"/>
                <w:highlight w:val="none"/>
                <w:lang w:val="en-US" w:eastAsia="zh-CN"/>
              </w:rPr>
              <w:t>档（</w:t>
            </w:r>
            <w:r>
              <w:rPr>
                <w:rFonts w:hint="eastAsia" w:ascii="宋体" w:hAnsi="宋体" w:cs="Times New Roman"/>
                <w:color w:val="auto"/>
                <w:kern w:val="0"/>
                <w:szCs w:val="21"/>
                <w:highlight w:val="none"/>
                <w:lang w:val="en-US" w:eastAsia="zh-CN"/>
              </w:rPr>
              <w:t>30</w:t>
            </w:r>
            <w:r>
              <w:rPr>
                <w:rFonts w:hint="eastAsia" w:ascii="宋体" w:hAnsi="宋体" w:eastAsia="宋体" w:cs="Times New Roman"/>
                <w:color w:val="auto"/>
                <w:kern w:val="0"/>
                <w:szCs w:val="21"/>
                <w:highlight w:val="none"/>
                <w:lang w:val="en-US" w:eastAsia="zh-CN"/>
              </w:rPr>
              <w:t>分）：准确理解本项目的业务特点、业务目标、业务范围；提出完整、科学可行的服务方案</w:t>
            </w:r>
            <w:r>
              <w:rPr>
                <w:rFonts w:hint="eastAsia" w:ascii="宋体" w:hAnsi="宋体" w:cs="Times New Roman"/>
                <w:color w:val="auto"/>
                <w:kern w:val="0"/>
                <w:szCs w:val="21"/>
                <w:highlight w:val="none"/>
                <w:lang w:val="en-US" w:eastAsia="zh-CN"/>
              </w:rPr>
              <w:t>，包括</w:t>
            </w:r>
            <w:r>
              <w:rPr>
                <w:rFonts w:hint="eastAsia" w:ascii="宋体" w:hAnsi="宋体" w:eastAsia="宋体" w:cs="Times New Roman"/>
                <w:color w:val="auto"/>
                <w:kern w:val="0"/>
                <w:szCs w:val="21"/>
                <w:highlight w:val="none"/>
                <w:lang w:val="en-US" w:eastAsia="zh-CN"/>
              </w:rPr>
              <w:t>内部管理机制</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内部防范和控制风险制度</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廉洁从业措施</w:t>
            </w:r>
            <w:r>
              <w:rPr>
                <w:rFonts w:hint="eastAsia" w:ascii="宋体" w:hAnsi="宋体" w:cs="Times New Roman"/>
                <w:color w:val="auto"/>
                <w:kern w:val="0"/>
                <w:szCs w:val="21"/>
                <w:highlight w:val="none"/>
                <w:lang w:val="en-US" w:eastAsia="zh-CN"/>
              </w:rPr>
              <w:t>、</w:t>
            </w:r>
            <w:r>
              <w:rPr>
                <w:rFonts w:ascii="宋体" w:hAnsi="宋体"/>
                <w:color w:val="auto"/>
                <w:highlight w:val="none"/>
              </w:rPr>
              <w:t>服务进度与保证措施</w:t>
            </w:r>
            <w:r>
              <w:rPr>
                <w:rFonts w:hint="eastAsia" w:ascii="宋体" w:hAnsi="宋体"/>
                <w:color w:val="auto"/>
                <w:highlight w:val="none"/>
                <w:lang w:eastAsia="zh-CN"/>
              </w:rPr>
              <w:t>、保密措施、</w:t>
            </w:r>
            <w:r>
              <w:rPr>
                <w:rFonts w:hint="eastAsia" w:ascii="宋体" w:hAnsi="宋体" w:eastAsia="宋体" w:cs="Times New Roman"/>
                <w:color w:val="auto"/>
                <w:kern w:val="0"/>
                <w:szCs w:val="21"/>
                <w:highlight w:val="none"/>
                <w:lang w:val="en-US" w:eastAsia="zh-CN"/>
              </w:rPr>
              <w:t>服务质量承诺</w:t>
            </w:r>
            <w:r>
              <w:rPr>
                <w:rFonts w:hint="eastAsia" w:ascii="宋体" w:hAnsi="宋体" w:cs="Times New Roman"/>
                <w:color w:val="auto"/>
                <w:kern w:val="0"/>
                <w:szCs w:val="21"/>
                <w:highlight w:val="none"/>
                <w:lang w:val="en-US" w:eastAsia="zh-CN"/>
              </w:rPr>
              <w:t>。以上制度、措施内容具体，服务承诺</w:t>
            </w:r>
            <w:r>
              <w:rPr>
                <w:rFonts w:hint="eastAsia" w:ascii="宋体" w:hAnsi="宋体" w:eastAsia="宋体" w:cs="Times New Roman"/>
                <w:color w:val="auto"/>
                <w:kern w:val="0"/>
                <w:szCs w:val="21"/>
                <w:highlight w:val="none"/>
                <w:lang w:val="en-US" w:eastAsia="zh-CN"/>
              </w:rPr>
              <w:t>内容明确。</w:t>
            </w:r>
          </w:p>
          <w:p>
            <w:pPr>
              <w:snapToGrid w:val="0"/>
              <w:spacing w:line="400" w:lineRule="exact"/>
              <w:jc w:val="left"/>
              <w:textAlignment w:val="baseline"/>
              <w:rPr>
                <w:rFonts w:ascii="宋体" w:hAnsi="宋体"/>
                <w:b/>
                <w:bCs/>
                <w:color w:val="auto"/>
                <w:szCs w:val="21"/>
                <w:highlight w:val="none"/>
              </w:rPr>
            </w:pPr>
            <w:r>
              <w:rPr>
                <w:rFonts w:hint="eastAsia" w:ascii="宋体" w:hAnsi="宋体" w:cs="Times New Roman"/>
                <w:color w:val="auto"/>
                <w:kern w:val="0"/>
                <w:szCs w:val="21"/>
                <w:highlight w:val="none"/>
                <w:lang w:val="en-US" w:eastAsia="zh-CN"/>
              </w:rPr>
              <w:t>三</w:t>
            </w:r>
            <w:r>
              <w:rPr>
                <w:rFonts w:hint="eastAsia" w:ascii="宋体" w:hAnsi="宋体" w:eastAsia="宋体" w:cs="Times New Roman"/>
                <w:color w:val="auto"/>
                <w:kern w:val="0"/>
                <w:szCs w:val="21"/>
                <w:highlight w:val="none"/>
                <w:lang w:val="en-US" w:eastAsia="zh-CN"/>
              </w:rPr>
              <w:t>档（</w:t>
            </w:r>
            <w:r>
              <w:rPr>
                <w:rFonts w:hint="eastAsia" w:ascii="宋体" w:hAnsi="宋体" w:cs="Times New Roman"/>
                <w:color w:val="auto"/>
                <w:kern w:val="0"/>
                <w:szCs w:val="21"/>
                <w:highlight w:val="none"/>
                <w:lang w:val="en-US" w:eastAsia="zh-CN"/>
              </w:rPr>
              <w:t>45</w:t>
            </w:r>
            <w:r>
              <w:rPr>
                <w:rFonts w:hint="eastAsia" w:ascii="宋体" w:hAnsi="宋体" w:eastAsia="宋体" w:cs="Times New Roman"/>
                <w:color w:val="auto"/>
                <w:kern w:val="0"/>
                <w:szCs w:val="21"/>
                <w:highlight w:val="none"/>
                <w:lang w:val="en-US" w:eastAsia="zh-CN"/>
              </w:rPr>
              <w:t>分）：在满足</w:t>
            </w:r>
            <w:r>
              <w:rPr>
                <w:rFonts w:hint="eastAsia" w:ascii="宋体" w:hAnsi="宋体" w:cs="Times New Roman"/>
                <w:color w:val="auto"/>
                <w:kern w:val="0"/>
                <w:szCs w:val="21"/>
                <w:highlight w:val="none"/>
                <w:lang w:val="en-US" w:eastAsia="zh-CN"/>
              </w:rPr>
              <w:t>二</w:t>
            </w:r>
            <w:r>
              <w:rPr>
                <w:rFonts w:hint="eastAsia" w:ascii="宋体" w:hAnsi="宋体" w:eastAsia="宋体" w:cs="Times New Roman"/>
                <w:color w:val="auto"/>
                <w:kern w:val="0"/>
                <w:szCs w:val="21"/>
                <w:highlight w:val="none"/>
                <w:lang w:val="en-US" w:eastAsia="zh-CN"/>
              </w:rPr>
              <w:t>档的基础上，准确理解本项目的业务特点、业务目标、业务范围；实施服务方案具有针对性</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内容详细、清晰</w:t>
            </w:r>
            <w:r>
              <w:rPr>
                <w:rFonts w:hint="eastAsia" w:ascii="宋体" w:hAnsi="宋体" w:cs="Times New Roman"/>
                <w:color w:val="auto"/>
                <w:kern w:val="0"/>
                <w:szCs w:val="21"/>
                <w:highlight w:val="none"/>
                <w:lang w:val="en-US" w:eastAsia="zh-CN"/>
              </w:rPr>
              <w:t>，包括</w:t>
            </w:r>
            <w:r>
              <w:rPr>
                <w:rFonts w:hint="eastAsia" w:ascii="宋体" w:hAnsi="宋体" w:eastAsia="宋体" w:cs="Times New Roman"/>
                <w:color w:val="auto"/>
                <w:kern w:val="0"/>
                <w:szCs w:val="21"/>
                <w:highlight w:val="none"/>
                <w:lang w:val="en-US" w:eastAsia="zh-CN"/>
              </w:rPr>
              <w:t>内部管理机制、内部防范和控制风险制度</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廉洁从业措施</w:t>
            </w:r>
            <w:r>
              <w:rPr>
                <w:rFonts w:hint="eastAsia" w:ascii="宋体" w:hAnsi="宋体" w:cs="Times New Roman"/>
                <w:color w:val="auto"/>
                <w:kern w:val="0"/>
                <w:szCs w:val="21"/>
                <w:highlight w:val="none"/>
                <w:lang w:val="en-US" w:eastAsia="zh-CN"/>
              </w:rPr>
              <w:t>、</w:t>
            </w:r>
            <w:r>
              <w:rPr>
                <w:rFonts w:ascii="宋体" w:hAnsi="宋体"/>
                <w:color w:val="auto"/>
                <w:highlight w:val="none"/>
              </w:rPr>
              <w:t>服务进度与保证措施</w:t>
            </w:r>
            <w:r>
              <w:rPr>
                <w:rFonts w:hint="eastAsia" w:ascii="宋体" w:hAnsi="宋体"/>
                <w:color w:val="auto"/>
                <w:highlight w:val="none"/>
                <w:lang w:eastAsia="zh-CN"/>
              </w:rPr>
              <w:t>、保密措施、</w:t>
            </w:r>
            <w:r>
              <w:rPr>
                <w:rFonts w:hint="eastAsia" w:ascii="宋体" w:hAnsi="宋体" w:eastAsia="宋体" w:cs="Times New Roman"/>
                <w:color w:val="auto"/>
                <w:kern w:val="0"/>
                <w:szCs w:val="21"/>
                <w:highlight w:val="none"/>
                <w:lang w:val="en-US" w:eastAsia="zh-CN"/>
              </w:rPr>
              <w:t>服务质量承诺</w:t>
            </w:r>
            <w:r>
              <w:rPr>
                <w:rFonts w:hint="eastAsia" w:ascii="宋体" w:hAnsi="宋体" w:cs="Times New Roman"/>
                <w:color w:val="auto"/>
                <w:kern w:val="0"/>
                <w:szCs w:val="21"/>
                <w:highlight w:val="none"/>
                <w:lang w:val="en-US" w:eastAsia="zh-CN"/>
              </w:rPr>
              <w:t>。以上制度、措施内容</w:t>
            </w:r>
            <w:r>
              <w:rPr>
                <w:rFonts w:hint="eastAsia" w:ascii="宋体" w:hAnsi="宋体" w:eastAsia="宋体" w:cs="Times New Roman"/>
                <w:color w:val="auto"/>
                <w:kern w:val="0"/>
                <w:szCs w:val="21"/>
                <w:highlight w:val="none"/>
                <w:lang w:val="en-US" w:eastAsia="zh-CN"/>
              </w:rPr>
              <w:t>具体详细、</w:t>
            </w:r>
            <w:r>
              <w:rPr>
                <w:rFonts w:hint="eastAsia" w:ascii="宋体" w:hAnsi="宋体" w:cs="Times New Roman"/>
                <w:color w:val="auto"/>
                <w:kern w:val="0"/>
                <w:szCs w:val="21"/>
                <w:highlight w:val="none"/>
                <w:lang w:val="en-US" w:eastAsia="zh-CN"/>
              </w:rPr>
              <w:t>健全完整，</w:t>
            </w:r>
            <w:r>
              <w:rPr>
                <w:rFonts w:hint="eastAsia" w:ascii="宋体" w:hAnsi="宋体" w:eastAsia="宋体" w:cs="Times New Roman"/>
                <w:color w:val="auto"/>
                <w:kern w:val="0"/>
                <w:szCs w:val="21"/>
                <w:highlight w:val="none"/>
                <w:lang w:val="en-US" w:eastAsia="zh-CN"/>
              </w:rPr>
              <w:t>且具有针对性</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服务</w:t>
            </w:r>
            <w:r>
              <w:rPr>
                <w:rFonts w:hint="eastAsia" w:ascii="宋体" w:hAnsi="宋体" w:cs="Times New Roman"/>
                <w:color w:val="auto"/>
                <w:kern w:val="0"/>
                <w:szCs w:val="21"/>
                <w:highlight w:val="none"/>
                <w:lang w:val="en-US" w:eastAsia="zh-CN"/>
              </w:rPr>
              <w:t>承诺内容</w:t>
            </w:r>
            <w:r>
              <w:rPr>
                <w:rFonts w:hint="eastAsia" w:ascii="宋体" w:hAnsi="宋体" w:eastAsia="宋体" w:cs="Times New Roman"/>
                <w:color w:val="auto"/>
                <w:kern w:val="0"/>
                <w:szCs w:val="21"/>
                <w:highlight w:val="none"/>
                <w:lang w:val="en-US" w:eastAsia="zh-CN"/>
              </w:rPr>
              <w:t>清晰明确。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cs="Tahoma"/>
                <w:b/>
                <w:color w:val="auto"/>
                <w:kern w:val="0"/>
                <w:szCs w:val="21"/>
                <w:highlight w:val="none"/>
              </w:rPr>
            </w:pPr>
            <w:r>
              <w:rPr>
                <w:rFonts w:hint="eastAsia" w:ascii="宋体" w:hAnsi="宋体"/>
                <w:b/>
                <w:color w:val="auto"/>
                <w:kern w:val="0"/>
                <w:szCs w:val="21"/>
                <w:highlight w:val="none"/>
              </w:rPr>
              <w:t>3</w:t>
            </w:r>
          </w:p>
        </w:tc>
        <w:tc>
          <w:tcPr>
            <w:tcW w:w="1475" w:type="dxa"/>
            <w:vAlign w:val="top"/>
          </w:tcPr>
          <w:p>
            <w:pPr>
              <w:widowControl/>
              <w:snapToGrid w:val="0"/>
              <w:spacing w:line="400" w:lineRule="exact"/>
              <w:jc w:val="left"/>
              <w:textAlignment w:val="baseline"/>
              <w:rPr>
                <w:rFonts w:ascii="宋体" w:hAnsi="宋体" w:cs="Tahoma"/>
                <w:b/>
                <w:color w:val="auto"/>
                <w:kern w:val="0"/>
                <w:szCs w:val="21"/>
                <w:highlight w:val="none"/>
              </w:rPr>
            </w:pPr>
            <w:r>
              <w:rPr>
                <w:rFonts w:hint="eastAsia" w:ascii="宋体" w:hAnsi="宋体" w:cs="Courier New"/>
                <w:b/>
                <w:color w:val="auto"/>
                <w:szCs w:val="21"/>
                <w:highlight w:val="none"/>
              </w:rPr>
              <w:t>商务分（满分</w:t>
            </w:r>
            <w:r>
              <w:rPr>
                <w:rFonts w:hint="eastAsia" w:ascii="宋体" w:hAnsi="宋体" w:cs="Courier New"/>
                <w:b/>
                <w:color w:val="auto"/>
                <w:szCs w:val="21"/>
                <w:highlight w:val="none"/>
                <w:lang w:val="en-US" w:eastAsia="zh-CN"/>
              </w:rPr>
              <w:t>25</w:t>
            </w:r>
            <w:r>
              <w:rPr>
                <w:rFonts w:hint="eastAsia" w:ascii="宋体" w:hAnsi="宋体" w:cs="Courier New"/>
                <w:b/>
                <w:color w:val="auto"/>
                <w:szCs w:val="21"/>
                <w:highlight w:val="none"/>
              </w:rPr>
              <w:t>分）</w:t>
            </w:r>
            <w:bookmarkStart w:id="0" w:name="_GoBack"/>
            <w:bookmarkEnd w:id="0"/>
          </w:p>
        </w:tc>
        <w:tc>
          <w:tcPr>
            <w:tcW w:w="7096" w:type="dxa"/>
            <w:vAlign w:val="top"/>
          </w:tcPr>
          <w:p>
            <w:pPr>
              <w:spacing w:line="400" w:lineRule="exact"/>
              <w:jc w:val="left"/>
              <w:rPr>
                <w:rFonts w:ascii="宋体" w:hAnsi="宋体"/>
                <w:b/>
                <w:color w:val="auto"/>
                <w:kern w:val="0"/>
                <w:szCs w:val="21"/>
                <w:highlight w:val="none"/>
              </w:rPr>
            </w:pPr>
            <w:r>
              <w:rPr>
                <w:rFonts w:hint="eastAsia" w:ascii="宋体" w:hAnsi="宋体"/>
                <w:b/>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hint="eastAsia" w:ascii="宋体" w:hAnsi="宋体" w:eastAsia="宋体"/>
                <w:b/>
                <w:color w:val="auto"/>
                <w:kern w:val="0"/>
                <w:szCs w:val="21"/>
                <w:highlight w:val="none"/>
                <w:lang w:val="en-US" w:eastAsia="zh-CN"/>
              </w:rPr>
            </w:pPr>
            <w:r>
              <w:rPr>
                <w:rFonts w:hint="eastAsia" w:ascii="宋体" w:hAnsi="宋体" w:cs="Tahoma"/>
                <w:color w:val="auto"/>
                <w:kern w:val="0"/>
                <w:szCs w:val="21"/>
                <w:highlight w:val="none"/>
              </w:rPr>
              <w:t>3.</w:t>
            </w:r>
            <w:r>
              <w:rPr>
                <w:rFonts w:hint="eastAsia" w:ascii="宋体" w:hAnsi="宋体" w:cs="Tahoma"/>
                <w:color w:val="auto"/>
                <w:kern w:val="0"/>
                <w:szCs w:val="21"/>
                <w:highlight w:val="none"/>
                <w:lang w:val="en-US" w:eastAsia="zh-CN"/>
              </w:rPr>
              <w:t>1</w:t>
            </w:r>
          </w:p>
        </w:tc>
        <w:tc>
          <w:tcPr>
            <w:tcW w:w="1475" w:type="dxa"/>
            <w:vAlign w:val="top"/>
          </w:tcPr>
          <w:p>
            <w:pPr>
              <w:widowControl/>
              <w:snapToGrid w:val="0"/>
              <w:spacing w:line="40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人员配置（满分</w:t>
            </w:r>
            <w:r>
              <w:rPr>
                <w:rFonts w:hint="eastAsia" w:ascii="宋体" w:hAnsi="宋体"/>
                <w:color w:val="auto"/>
                <w:szCs w:val="21"/>
                <w:highlight w:val="none"/>
                <w:lang w:val="en-US" w:eastAsia="zh-CN"/>
              </w:rPr>
              <w:t>10</w:t>
            </w:r>
            <w:r>
              <w:rPr>
                <w:rFonts w:hint="eastAsia" w:ascii="宋体" w:hAnsi="宋体"/>
                <w:color w:val="auto"/>
                <w:szCs w:val="21"/>
                <w:highlight w:val="none"/>
              </w:rPr>
              <w:t>）</w:t>
            </w:r>
          </w:p>
        </w:tc>
        <w:tc>
          <w:tcPr>
            <w:tcW w:w="7096" w:type="dxa"/>
            <w:vAlign w:val="top"/>
          </w:tcPr>
          <w:p>
            <w:pPr>
              <w:pStyle w:val="6"/>
              <w:ind w:firstLine="0" w:firstLineChars="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供应商配备的人员在满足采购需求的基础上，每增加1名具备初级职称及以上人员得2分，满分10分。</w:t>
            </w:r>
          </w:p>
          <w:p>
            <w:pPr>
              <w:pStyle w:val="6"/>
              <w:ind w:firstLine="0" w:firstLineChars="0"/>
              <w:rPr>
                <w:rFonts w:hint="eastAsia" w:ascii="宋体" w:hAnsi="宋体" w:eastAsia="宋体"/>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注：提供增加人员必须为供应商在职人员，且提供职称证复印件及供应商为其缴纳响应文件提交截止之日前半年内任意三个月社保缴费证明材料并加盖单位公章，否则不计分。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widowControl/>
              <w:snapToGrid w:val="0"/>
              <w:spacing w:line="400" w:lineRule="exact"/>
              <w:jc w:val="left"/>
              <w:textAlignment w:val="baseline"/>
              <w:rPr>
                <w:rFonts w:hint="eastAsia" w:ascii="宋体" w:hAnsi="宋体" w:eastAsia="宋体" w:cs="Tahoma"/>
                <w:color w:val="auto"/>
                <w:kern w:val="0"/>
                <w:szCs w:val="21"/>
                <w:highlight w:val="none"/>
                <w:lang w:eastAsia="zh-CN"/>
              </w:rPr>
            </w:pPr>
            <w:r>
              <w:rPr>
                <w:rFonts w:hint="eastAsia" w:ascii="宋体" w:hAnsi="宋体" w:cs="Tahoma"/>
                <w:color w:val="auto"/>
                <w:kern w:val="0"/>
                <w:szCs w:val="21"/>
                <w:highlight w:val="none"/>
              </w:rPr>
              <w:t>3.</w:t>
            </w:r>
            <w:r>
              <w:rPr>
                <w:rFonts w:hint="eastAsia" w:ascii="宋体" w:hAnsi="宋体" w:cs="Tahoma"/>
                <w:color w:val="auto"/>
                <w:kern w:val="0"/>
                <w:szCs w:val="21"/>
                <w:highlight w:val="none"/>
                <w:lang w:val="en-US" w:eastAsia="zh-CN"/>
              </w:rPr>
              <w:t>2</w:t>
            </w:r>
          </w:p>
        </w:tc>
        <w:tc>
          <w:tcPr>
            <w:tcW w:w="1475" w:type="dxa"/>
            <w:vAlign w:val="top"/>
          </w:tcPr>
          <w:p>
            <w:pPr>
              <w:widowControl/>
              <w:snapToGrid w:val="0"/>
              <w:spacing w:line="400" w:lineRule="exact"/>
              <w:jc w:val="left"/>
              <w:textAlignment w:val="baseline"/>
              <w:rPr>
                <w:rFonts w:ascii="宋体" w:hAnsi="宋体"/>
                <w:color w:val="auto"/>
                <w:szCs w:val="21"/>
                <w:highlight w:val="none"/>
              </w:rPr>
            </w:pPr>
            <w:r>
              <w:rPr>
                <w:rFonts w:hint="eastAsia" w:ascii="宋体" w:hAnsi="宋体"/>
                <w:color w:val="auto"/>
                <w:szCs w:val="21"/>
                <w:highlight w:val="none"/>
              </w:rPr>
              <w:t>业绩分（满分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7096" w:type="dxa"/>
            <w:vAlign w:val="top"/>
          </w:tcPr>
          <w:p>
            <w:pPr>
              <w:widowControl/>
              <w:snapToGrid w:val="0"/>
              <w:spacing w:line="40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供应商提供202</w:t>
            </w:r>
            <w:r>
              <w:rPr>
                <w:rFonts w:hint="eastAsia" w:ascii="宋体" w:hAnsi="宋体"/>
                <w:color w:val="auto"/>
                <w:szCs w:val="21"/>
                <w:highlight w:val="none"/>
                <w:lang w:val="en-US" w:eastAsia="zh-CN"/>
              </w:rPr>
              <w:t>2</w:t>
            </w:r>
            <w:r>
              <w:rPr>
                <w:rFonts w:hint="eastAsia" w:ascii="宋体" w:hAnsi="宋体"/>
                <w:color w:val="auto"/>
                <w:szCs w:val="21"/>
                <w:highlight w:val="none"/>
              </w:rPr>
              <w:t>年以来类似服务</w:t>
            </w:r>
            <w:r>
              <w:rPr>
                <w:rFonts w:hint="eastAsia" w:ascii="宋体" w:hAnsi="宋体"/>
                <w:color w:val="auto"/>
                <w:szCs w:val="21"/>
                <w:highlight w:val="none"/>
                <w:lang w:eastAsia="zh-CN"/>
              </w:rPr>
              <w:t>（内控评价、内控咨询等）</w:t>
            </w:r>
            <w:r>
              <w:rPr>
                <w:rFonts w:hint="eastAsia" w:ascii="宋体" w:hAnsi="宋体"/>
                <w:color w:val="auto"/>
                <w:szCs w:val="21"/>
                <w:highlight w:val="none"/>
              </w:rPr>
              <w:t>业绩的，每项得</w:t>
            </w:r>
            <w:r>
              <w:rPr>
                <w:rFonts w:hint="eastAsia" w:ascii="宋体" w:hAnsi="宋体"/>
                <w:color w:val="auto"/>
                <w:szCs w:val="21"/>
                <w:highlight w:val="none"/>
                <w:lang w:val="en-US" w:eastAsia="zh-CN"/>
              </w:rPr>
              <w:t>1.5</w:t>
            </w:r>
            <w:r>
              <w:rPr>
                <w:rFonts w:hint="eastAsia" w:ascii="宋体" w:hAnsi="宋体"/>
                <w:color w:val="auto"/>
                <w:szCs w:val="21"/>
                <w:highlight w:val="none"/>
              </w:rPr>
              <w:t>分，满分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p>
            <w:pPr>
              <w:widowControl/>
              <w:snapToGrid w:val="0"/>
              <w:spacing w:line="400" w:lineRule="exact"/>
              <w:jc w:val="left"/>
              <w:textAlignment w:val="baseline"/>
              <w:rPr>
                <w:rFonts w:ascii="宋体" w:hAnsi="宋体"/>
                <w:color w:val="auto"/>
                <w:szCs w:val="21"/>
                <w:highlight w:val="none"/>
              </w:rPr>
            </w:pPr>
            <w:r>
              <w:rPr>
                <w:rFonts w:hint="eastAsia" w:ascii="宋体" w:hAnsi="宋体"/>
                <w:bCs/>
                <w:color w:val="auto"/>
                <w:szCs w:val="21"/>
                <w:highlight w:val="none"/>
              </w:rPr>
              <w:t>注：</w:t>
            </w:r>
            <w:r>
              <w:rPr>
                <w:rFonts w:hint="eastAsia" w:ascii="宋体" w:hAnsi="宋体"/>
                <w:bCs/>
                <w:color w:val="auto"/>
                <w:szCs w:val="21"/>
                <w:highlight w:val="none"/>
                <w:lang w:eastAsia="zh-CN"/>
              </w:rPr>
              <w:t>需</w:t>
            </w:r>
            <w:r>
              <w:rPr>
                <w:rFonts w:hint="eastAsia" w:ascii="宋体" w:hAnsi="宋体"/>
                <w:bCs/>
                <w:color w:val="auto"/>
                <w:szCs w:val="21"/>
                <w:highlight w:val="none"/>
              </w:rPr>
              <w:t>提供证明材料（中标通知书或项目合同或验收报告或其他履行合同</w:t>
            </w:r>
            <w:r>
              <w:rPr>
                <w:rFonts w:hint="eastAsia" w:ascii="宋体" w:hAnsi="宋体"/>
                <w:bCs/>
                <w:color w:val="auto"/>
                <w:szCs w:val="21"/>
                <w:highlight w:val="none"/>
                <w:lang w:eastAsia="zh-CN"/>
              </w:rPr>
              <w:t>等</w:t>
            </w: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234" w:type="dxa"/>
            <w:gridSpan w:val="3"/>
            <w:vAlign w:val="top"/>
          </w:tcPr>
          <w:p>
            <w:pPr>
              <w:spacing w:line="400" w:lineRule="exact"/>
              <w:jc w:val="left"/>
              <w:rPr>
                <w:rFonts w:ascii="宋体" w:hAnsi="宋体"/>
                <w:b/>
                <w:color w:val="auto"/>
                <w:kern w:val="0"/>
                <w:szCs w:val="21"/>
                <w:highlight w:val="none"/>
              </w:rPr>
            </w:pPr>
            <w:r>
              <w:rPr>
                <w:rFonts w:hint="eastAsia" w:ascii="宋体" w:hAnsi="宋体"/>
                <w:b/>
                <w:color w:val="auto"/>
                <w:szCs w:val="21"/>
                <w:highlight w:val="none"/>
              </w:rPr>
              <w:t>总得分（满分100分）＝</w:t>
            </w:r>
            <w:r>
              <w:rPr>
                <w:rFonts w:hint="eastAsia" w:ascii="宋体" w:hAnsi="宋体" w:cs="宋体"/>
                <w:b/>
                <w:bCs/>
                <w:color w:val="auto"/>
                <w:szCs w:val="21"/>
                <w:highlight w:val="none"/>
              </w:rPr>
              <w:t>1+2+3项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13ED2"/>
    <w:rsid w:val="08EC1C8D"/>
    <w:rsid w:val="0D544FE2"/>
    <w:rsid w:val="0E977151"/>
    <w:rsid w:val="11413ED2"/>
    <w:rsid w:val="13632732"/>
    <w:rsid w:val="164439CE"/>
    <w:rsid w:val="1A4B1224"/>
    <w:rsid w:val="27E23690"/>
    <w:rsid w:val="27F73994"/>
    <w:rsid w:val="31272B9F"/>
    <w:rsid w:val="314368D4"/>
    <w:rsid w:val="324A58FE"/>
    <w:rsid w:val="373C6392"/>
    <w:rsid w:val="3D5075B2"/>
    <w:rsid w:val="40991AF2"/>
    <w:rsid w:val="47F80955"/>
    <w:rsid w:val="50AD2E70"/>
    <w:rsid w:val="54C040BC"/>
    <w:rsid w:val="562B7D5C"/>
    <w:rsid w:val="5C2016EF"/>
    <w:rsid w:val="5FC7576C"/>
    <w:rsid w:val="74A53335"/>
    <w:rsid w:val="765C2982"/>
    <w:rsid w:val="7E7F3403"/>
    <w:rsid w:val="7EB0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Plain Text"/>
    <w:basedOn w:val="1"/>
    <w:qFormat/>
    <w:uiPriority w:val="0"/>
    <w:rPr>
      <w:rFonts w:ascii="宋体" w:hAnsi="Courier New"/>
      <w:kern w:val="0"/>
      <w:sz w:val="20"/>
      <w:szCs w:val="20"/>
    </w:rPr>
  </w:style>
  <w:style w:type="paragraph" w:customStyle="1" w:styleId="6">
    <w:name w:val="签发人"/>
    <w:basedOn w:val="7"/>
    <w:qFormat/>
    <w:uiPriority w:val="0"/>
    <w:rPr>
      <w:rFonts w:ascii="Times New Roman" w:hAnsi="Times New Roman" w:eastAsia="楷体" w:cs="仿宋_GB2312"/>
      <w:sz w:val="32"/>
      <w:szCs w:val="32"/>
    </w:rPr>
  </w:style>
  <w:style w:type="paragraph" w:customStyle="1" w:styleId="7">
    <w:name w:val="正文1"/>
    <w:basedOn w:val="3"/>
    <w:next w:val="8"/>
    <w:qFormat/>
    <w:uiPriority w:val="0"/>
    <w:pPr>
      <w:spacing w:line="440" w:lineRule="exact"/>
      <w:ind w:firstLine="200" w:firstLineChars="200"/>
      <w:jc w:val="left"/>
    </w:pPr>
    <w:rPr>
      <w:rFonts w:hAnsi="宋体"/>
      <w:sz w:val="21"/>
      <w:szCs w:val="21"/>
    </w:rPr>
  </w:style>
  <w:style w:type="paragraph" w:customStyle="1" w:styleId="8">
    <w:name w:val="UserStyle_0"/>
    <w:basedOn w:val="9"/>
    <w:next w:val="1"/>
    <w:qFormat/>
    <w:uiPriority w:val="0"/>
    <w:pPr>
      <w:jc w:val="both"/>
      <w:textAlignment w:val="baseline"/>
    </w:pPr>
    <w:rPr>
      <w:rFonts w:ascii="Calibri" w:hAnsi="Calibri" w:eastAsia="楷体"/>
      <w:kern w:val="2"/>
      <w:sz w:val="21"/>
      <w:szCs w:val="24"/>
      <w:lang w:val="en-US" w:eastAsia="zh-CN" w:bidi="ar-SA"/>
    </w:rPr>
  </w:style>
  <w:style w:type="paragraph" w:customStyle="1" w:styleId="9">
    <w:name w:val="Heading1"/>
    <w:basedOn w:val="1"/>
    <w:next w:val="1"/>
    <w:qFormat/>
    <w:uiPriority w:val="0"/>
    <w:pPr>
      <w:spacing w:before="100" w:beforeAutospacing="1" w:after="100" w:afterAutospacing="1"/>
      <w:jc w:val="left"/>
      <w:textAlignment w:val="baseline"/>
    </w:pPr>
    <w:rPr>
      <w:rFonts w:ascii="宋体" w:hAnsi="宋体" w:eastAsia="宋体" w:cs="宋体"/>
      <w:b/>
      <w:bCs/>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2025-04-09T09:48:00Z</dcterms:created>
  <dc:creator>Administrator</dc:creator>
  <cp:lastModifiedBy>Administrator</cp:lastModifiedBy>
  <cp:lastPrinted>2025-05-14T02:54:00Z</cp:lastPrinted>
  <dcterms:modified xsi:type="dcterms:W3CDTF">2025-07-16T08:31:32Z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