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                </w:t>
      </w:r>
    </w:p>
    <w:p>
      <w:pPr>
        <w:pStyle w:val="2"/>
        <w:spacing w:before="393" w:line="219" w:lineRule="auto"/>
        <w:jc w:val="center"/>
        <w:outlineLvl w:val="0"/>
        <w:rPr>
          <w:color w:val="000000" w:themeColor="text1"/>
          <w:sz w:val="121"/>
          <w:szCs w:val="12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pacing w:val="49"/>
          <w:sz w:val="121"/>
          <w:szCs w:val="121"/>
          <w14:textFill>
            <w14:solidFill>
              <w14:schemeClr w14:val="tx1"/>
            </w14:solidFill>
          </w14:textFill>
        </w:rPr>
        <w:t>合同书</w:t>
      </w:r>
    </w:p>
    <w:p>
      <w:pPr>
        <w:spacing w:line="258" w:lineRule="auto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>
      <w:pPr>
        <w:spacing w:line="258" w:lineRule="auto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>
      <w:pPr>
        <w:spacing w:line="302" w:lineRule="auto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>
      <w:pPr>
        <w:spacing w:line="302" w:lineRule="auto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>
      <w:pPr>
        <w:pStyle w:val="2"/>
        <w:spacing w:before="88" w:line="349" w:lineRule="auto"/>
        <w:ind w:left="1883" w:leftChars="472" w:right="1230" w:hanging="892" w:hangingChars="27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合同名称： </w:t>
      </w:r>
    </w:p>
    <w:p>
      <w:pPr>
        <w:spacing w:line="272" w:lineRule="auto"/>
        <w:ind w:firstLine="320" w:firstLineChars="100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</w:pPr>
    </w:p>
    <w:p>
      <w:pPr>
        <w:spacing w:line="272" w:lineRule="auto"/>
        <w:ind w:firstLine="960" w:firstLineChars="300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  <w:t>合同编号：</w:t>
      </w:r>
    </w:p>
    <w:p>
      <w:pPr>
        <w:spacing w:line="273" w:lineRule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spacing w:line="273" w:lineRule="auto"/>
        <w:ind w:firstLine="960" w:firstLineChars="300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采购人（甲方）：</w:t>
      </w:r>
    </w:p>
    <w:p>
      <w:pPr>
        <w:spacing w:line="273" w:lineRule="auto"/>
        <w:ind w:firstLine="320" w:firstLineChars="100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spacing w:line="273" w:lineRule="auto"/>
        <w:ind w:firstLine="960" w:firstLineChars="300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供应商（乙方）：</w:t>
      </w:r>
    </w:p>
    <w:p>
      <w:pPr>
        <w:spacing w:line="289" w:lineRule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</w:t>
      </w:r>
    </w:p>
    <w:p>
      <w:pPr>
        <w:pStyle w:val="2"/>
        <w:spacing w:line="221" w:lineRule="auto"/>
        <w:ind w:left="394" w:firstLine="640" w:firstLineChars="200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  <w:t xml:space="preserve">签 订 合 同 地 点 ：                                                                </w:t>
      </w:r>
    </w:p>
    <w:p>
      <w:pPr>
        <w:pStyle w:val="2"/>
        <w:spacing w:before="89" w:line="205" w:lineRule="auto"/>
        <w:ind w:left="4060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</w:pPr>
    </w:p>
    <w:p>
      <w:pPr>
        <w:ind w:firstLine="960" w:firstLineChars="300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  <w:t>签 订 合 同 时 间 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采购单位(甲方)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供应商(乙方)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项目名称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签订地点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签订时间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日   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根据《中华人民共和国民法典》等法律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法规规定，按照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公告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规定条款和中标供应商投标文件及其承诺，甲乙双方签订本合同。</w:t>
      </w:r>
    </w:p>
    <w:p>
      <w:pPr>
        <w:ind w:firstLine="640" w:firstLineChars="200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第一条 合同标的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1.项目一览表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1834"/>
        <w:gridCol w:w="1500"/>
        <w:gridCol w:w="1000"/>
        <w:gridCol w:w="1166"/>
        <w:gridCol w:w="1412"/>
        <w:gridCol w:w="1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9" w:type="dxa"/>
          </w:tcPr>
          <w:p>
            <w:pPr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834" w:type="dxa"/>
          </w:tcPr>
          <w:p>
            <w:pPr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1500" w:type="dxa"/>
          </w:tcPr>
          <w:p>
            <w:pPr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技术需求</w:t>
            </w:r>
          </w:p>
        </w:tc>
        <w:tc>
          <w:tcPr>
            <w:tcW w:w="1000" w:type="dxa"/>
          </w:tcPr>
          <w:p>
            <w:pPr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166" w:type="dxa"/>
          </w:tcPr>
          <w:p>
            <w:pPr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412" w:type="dxa"/>
          </w:tcPr>
          <w:p>
            <w:pPr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单价（元）</w:t>
            </w:r>
          </w:p>
        </w:tc>
        <w:tc>
          <w:tcPr>
            <w:tcW w:w="1630" w:type="dxa"/>
          </w:tcPr>
          <w:p>
            <w:pPr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00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4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6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2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51" w:type="dxa"/>
            <w:gridSpan w:val="7"/>
          </w:tcPr>
          <w:p>
            <w:pPr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合计金额：（大写）人民币</w:t>
            </w:r>
          </w:p>
        </w:tc>
      </w:tr>
    </w:tbl>
    <w:p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合同金额为完成甲方指定服务全部内容的报价，包括了乙方完成本项目所需的一切工作内容而发生的所有直接费用、间接费用、其它费用、税金等全部费用和乙方要求获得的利润以及应由乙方承担的义务、责任和风险所发生的一切费用。除政策性文件规定以外，乙方所报价格在合同实施期间不因市场变化因素而变动。</w:t>
      </w:r>
    </w:p>
    <w:p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服务内容：根据国家规定的工程技术质量标准和现行技术规范、规程要求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，为甲方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出具相应的项目建设方案编制书；配合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甲方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完成审批所需的所有相关的资料文件及其他相关服务。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第二条 质量保证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乙方提供的服务质量标准按国家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地方政府的规定和本合同约定的服务质量要求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，以及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乙方在投标文件中的承诺执行。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第三条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权利保证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乙方应保证所提供服务在使用时不会侵犯任何第三方的专利权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商标权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工业设计权或其他权利。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如乙方违反上述规定，则乙方应负责消除甲方拥有并使用乙方交付的货物、软件、技术资料等所存在的全部法律障碍，并赔偿甲方的损失。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乙方应按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公告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规定的时间向甲方提供使用服务的有关技术资料。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没有甲方书面同意，乙方不得将由甲方提供的任何合同条文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规格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计划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图纸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样品或资料提供给与履行本合同无关的任何其他人。即使向履行本合同有关的人员提供，也应注意保密并限于履行合同的必需范围。如有泄露，乙方须承担相应的法律责任。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乙方保证所交付的服务的所有权完全属于乙方且无任何抵押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质押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查封等产权瑕疵。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第四条 交付和验收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.签订合同生效之日起，乙方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5个日历日内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向甲方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交付建设方案编制书。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提交服务成果地点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广西区内甲方指定地点。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乙方提供不符合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公告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和本合同规定的服务，甲方有权拒绝接受。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乙方完成服务后应及时书面通知甲方进行验收，甲方应在收到通知后依据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公告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要求、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投标文件的承诺和国家标准或行业标准按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公告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的规定进行验收。验收合格后由甲乙双方签署验收单并加盖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甲乙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方公章，甲乙双方各执一份。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甲方在验收过程中，如发现乙方的服务成果不满足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公告、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投标文件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本合同规定的，甲方不予签收并有权要求乙方整改并可暂缓向乙方付款，乙方应在甲方规定的时间内及时予以解决，不得拒绝和延误。乙方整改后的成果必须经甲方再次验收，验收合格后，方可办理付款。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交付前，乙方应对服务成果作出全面检查和对验收文件进行整理，并列出清单，作为甲方验收和使用的技术条件依据，检验的结果应在服务完成后交付甲方。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本项目的一切验收费用由乙方承担。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第五条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付款方式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乙方提交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建设方案编制书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履约验收通过后，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乙方应在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3天内向甲方开具全额发票，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甲方收到发票后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5个工作日内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向乙方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一次性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支付合同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款(无息)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第六条 税费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本合同执行中相关的一切税费均由乙方负担，合同另有约定的除外。</w:t>
      </w:r>
    </w:p>
    <w:p>
      <w:pPr>
        <w:ind w:firstLine="640" w:firstLineChars="200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第七条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双方约定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乙方应站在甲方的立场上对甲方委托的项目进行认真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细致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公正的服务，服从甲方的各项管理制度及管理要求。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乙方不得将甲方委托的服务项目转交第三方完成。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乙方应严格按国家有关标准提供服务。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乙方在接受甲方委托的服务任务后应积极主动地与甲方联系，落实具体事宜，并安排相应的人员在规定的时间内完成任务。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第八条  违约责任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甲方对乙方递交的建设方案编制书进行审核，建设方案编制书达不到要求的，甲方有权督促乙方修改完善，甲方不另支付费用。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乙方未按本合同和投标文件中规定的服务承诺提供服务的，乙方应按本合同金额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%向甲方支付违约金。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如乙方逾期未能提交成果的，甲方有权解除合同。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.乙方提供的服务成果在质量保证期内，因投标人和其它质量原因造成的问题，由乙方负责。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第九条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不可抗力事件处理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在合同有效期内，任何一方因不可抗力事件导致不能履行合同，则合同履行期可延长，其延长期与不可抗力影响期相同。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不可抗力事件发生后，应立即通知对方，并寄送有关权威机构出具的证明。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不可抗力事件延续一百二十天以上，双方应通过友好协商，确定是否继续履行合同。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第十条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合同争议解决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因服务质量问题发生争议的，应邀请国家认可的质量检测机构进行鉴定。服务符合标准的，鉴定费由甲方承担；服务不符合标准的，鉴定费由乙方承担。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因履行本合同引起的或者与本合同有关的争议，甲乙双方应首先通过友好协商解决，如果协商不能解决，可向甲方所在地有管辖权的人民法院提起诉讼。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诉讼期间，本合同继续履行。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诉讼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双方在执行合同中所发生的一切争议，应通过协商解决。如果协商不能解决，可甲方所在地人民法院提起诉讼。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 合同生效及其他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合同经双方法定代表人或者授权代表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签章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并加盖单位公章后生效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委托代理人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签章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的需后附法定代表人授权委托书，格式自拟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本合同未尽事宜，遵照《中华人民共和国民法典》有关条文执行。</w:t>
      </w:r>
    </w:p>
    <w:p>
      <w:pPr>
        <w:ind w:firstLine="640" w:firstLineChars="200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 合同的变更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终止与转让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本合同一经签订，甲乙双方不得擅自变更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中止或终止。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乙方不得擅自转让其应履行的合同义务。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合同执行中涉及采购资金和采购内容修改或补充的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签订书面补充协议，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作为主合同不可分割的一部分。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 签订本合同依据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公告及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公告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2.投标文件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.其他材料</w:t>
      </w:r>
    </w:p>
    <w:p>
      <w:pPr>
        <w:ind w:firstLine="640" w:firstLineChars="200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</w:t>
      </w:r>
      <w:r>
        <w:rPr>
          <w:rFonts w:hint="default" w:ascii="黑体" w:hAnsi="黑体" w:eastAsia="黑体" w:cs="黑体"/>
          <w:b w:val="0"/>
          <w:bCs w:val="0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 xml:space="preserve"> 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其他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本合同一式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份，具有同等法律效力，甲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方执肆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份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乙方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执贰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份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可根据需要另增加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。 </w:t>
      </w:r>
    </w:p>
    <w:tbl>
      <w:tblPr>
        <w:tblStyle w:val="5"/>
        <w:tblpPr w:leftFromText="180" w:rightFromText="180" w:vertAnchor="text" w:horzAnchor="page" w:tblpX="1419" w:tblpY="139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0"/>
        <w:gridCol w:w="49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464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甲方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名称：（盖章）</w:t>
            </w:r>
          </w:p>
        </w:tc>
        <w:tc>
          <w:tcPr>
            <w:tcW w:w="4920" w:type="dxa"/>
            <w:noWrap w:val="0"/>
            <w:vAlign w:val="center"/>
          </w:tcPr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乙方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名称：（盖章）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640" w:type="dxa"/>
            <w:noWrap w:val="0"/>
            <w:vAlign w:val="center"/>
          </w:tcPr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0" w:type="dxa"/>
            <w:noWrap w:val="0"/>
            <w:vAlign w:val="center"/>
          </w:tcPr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64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法定代表人：（签字或盖章）</w:t>
            </w:r>
          </w:p>
        </w:tc>
        <w:tc>
          <w:tcPr>
            <w:tcW w:w="4920" w:type="dxa"/>
            <w:noWrap w:val="0"/>
            <w:vAlign w:val="center"/>
          </w:tcPr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法定代表人：（签字或盖章）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464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委托代理人：（签字）</w:t>
            </w:r>
          </w:p>
        </w:tc>
        <w:tc>
          <w:tcPr>
            <w:tcW w:w="4920" w:type="dxa"/>
            <w:noWrap w:val="0"/>
            <w:vAlign w:val="center"/>
          </w:tcPr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委托代理人：（签字）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464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地    址：</w:t>
            </w:r>
          </w:p>
        </w:tc>
        <w:tc>
          <w:tcPr>
            <w:tcW w:w="4920" w:type="dxa"/>
            <w:noWrap w:val="0"/>
            <w:vAlign w:val="center"/>
          </w:tcPr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地    址：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40" w:type="dxa"/>
            <w:noWrap w:val="0"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邮政编码：</w:t>
            </w:r>
          </w:p>
        </w:tc>
        <w:tc>
          <w:tcPr>
            <w:tcW w:w="4920" w:type="dxa"/>
            <w:noWrap w:val="0"/>
            <w:vAlign w:val="center"/>
          </w:tcPr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邮政编码：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4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电    话：</w:t>
            </w:r>
          </w:p>
        </w:tc>
        <w:tc>
          <w:tcPr>
            <w:tcW w:w="4920" w:type="dxa"/>
            <w:noWrap w:val="0"/>
            <w:vAlign w:val="center"/>
          </w:tcPr>
          <w:p>
            <w:pPr>
              <w:ind w:firstLine="640" w:firstLineChars="200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电    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4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开户银行：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</w:t>
            </w:r>
          </w:p>
        </w:tc>
        <w:tc>
          <w:tcPr>
            <w:tcW w:w="4920" w:type="dxa"/>
            <w:noWrap w:val="0"/>
            <w:vAlign w:val="center"/>
          </w:tcPr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开户银行：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4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银行帐号：</w:t>
            </w:r>
          </w:p>
        </w:tc>
        <w:tc>
          <w:tcPr>
            <w:tcW w:w="4920" w:type="dxa"/>
            <w:noWrap w:val="0"/>
            <w:vAlign w:val="center"/>
          </w:tcPr>
          <w:p>
            <w:pPr>
              <w:ind w:firstLine="640" w:firstLineChars="200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银行帐号：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4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开户名称：</w:t>
            </w:r>
          </w:p>
        </w:tc>
        <w:tc>
          <w:tcPr>
            <w:tcW w:w="4920" w:type="dxa"/>
            <w:noWrap w:val="0"/>
            <w:vAlign w:val="center"/>
          </w:tcPr>
          <w:p>
            <w:pPr>
              <w:ind w:firstLine="640" w:firstLineChars="200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开户名称：</w:t>
            </w:r>
          </w:p>
        </w:tc>
      </w:tr>
    </w:tbl>
    <w:p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531" w:right="1134" w:bottom="2098" w:left="113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9A3030"/>
    <w:rsid w:val="006B25B2"/>
    <w:rsid w:val="02E925A6"/>
    <w:rsid w:val="030B7A26"/>
    <w:rsid w:val="03C44138"/>
    <w:rsid w:val="042D48DD"/>
    <w:rsid w:val="049525DF"/>
    <w:rsid w:val="0B9A5997"/>
    <w:rsid w:val="0BF40A42"/>
    <w:rsid w:val="0C5434F5"/>
    <w:rsid w:val="0E953287"/>
    <w:rsid w:val="0F0D02D1"/>
    <w:rsid w:val="119C16E7"/>
    <w:rsid w:val="12485717"/>
    <w:rsid w:val="12FD757D"/>
    <w:rsid w:val="13522693"/>
    <w:rsid w:val="143C6282"/>
    <w:rsid w:val="14DB3E26"/>
    <w:rsid w:val="16613B64"/>
    <w:rsid w:val="18906B80"/>
    <w:rsid w:val="196111E6"/>
    <w:rsid w:val="1C793E15"/>
    <w:rsid w:val="1CB417DA"/>
    <w:rsid w:val="1D257153"/>
    <w:rsid w:val="21744298"/>
    <w:rsid w:val="23CF44F7"/>
    <w:rsid w:val="23F10BA3"/>
    <w:rsid w:val="25220EFB"/>
    <w:rsid w:val="252C0353"/>
    <w:rsid w:val="2A0A5843"/>
    <w:rsid w:val="2A0B77D6"/>
    <w:rsid w:val="2B6E7064"/>
    <w:rsid w:val="2BB942FD"/>
    <w:rsid w:val="30221D78"/>
    <w:rsid w:val="31896604"/>
    <w:rsid w:val="31EC10A7"/>
    <w:rsid w:val="323F3292"/>
    <w:rsid w:val="323F394C"/>
    <w:rsid w:val="33BB2187"/>
    <w:rsid w:val="3434479B"/>
    <w:rsid w:val="36122522"/>
    <w:rsid w:val="3835465B"/>
    <w:rsid w:val="399676C5"/>
    <w:rsid w:val="3AC04B28"/>
    <w:rsid w:val="3BCC05DE"/>
    <w:rsid w:val="3BD049FE"/>
    <w:rsid w:val="3C123063"/>
    <w:rsid w:val="3D0C213A"/>
    <w:rsid w:val="3D605880"/>
    <w:rsid w:val="3D6F3BB8"/>
    <w:rsid w:val="3E5800DF"/>
    <w:rsid w:val="3F1F6D64"/>
    <w:rsid w:val="409A00BC"/>
    <w:rsid w:val="41014796"/>
    <w:rsid w:val="419A3030"/>
    <w:rsid w:val="42B1507B"/>
    <w:rsid w:val="43316D3D"/>
    <w:rsid w:val="46254384"/>
    <w:rsid w:val="47532F89"/>
    <w:rsid w:val="47D3619E"/>
    <w:rsid w:val="4861316D"/>
    <w:rsid w:val="494D3651"/>
    <w:rsid w:val="4A0B19C9"/>
    <w:rsid w:val="4A725B25"/>
    <w:rsid w:val="4B185B4D"/>
    <w:rsid w:val="4C1511A1"/>
    <w:rsid w:val="4C3B6BEA"/>
    <w:rsid w:val="4D684DEC"/>
    <w:rsid w:val="4DB61E62"/>
    <w:rsid w:val="4E07175B"/>
    <w:rsid w:val="4ED83F89"/>
    <w:rsid w:val="4FD5358A"/>
    <w:rsid w:val="551F6C8B"/>
    <w:rsid w:val="55B330FE"/>
    <w:rsid w:val="58F75D0E"/>
    <w:rsid w:val="5A06142F"/>
    <w:rsid w:val="5F2446AD"/>
    <w:rsid w:val="607108B6"/>
    <w:rsid w:val="648B7626"/>
    <w:rsid w:val="664411E7"/>
    <w:rsid w:val="673E7810"/>
    <w:rsid w:val="67E66729"/>
    <w:rsid w:val="69542870"/>
    <w:rsid w:val="6C934780"/>
    <w:rsid w:val="6CDE1055"/>
    <w:rsid w:val="6D7C4739"/>
    <w:rsid w:val="6DBF3DF4"/>
    <w:rsid w:val="6ED94F79"/>
    <w:rsid w:val="71D361E4"/>
    <w:rsid w:val="74E073A8"/>
    <w:rsid w:val="75316F84"/>
    <w:rsid w:val="75CF1D48"/>
    <w:rsid w:val="760B1E4F"/>
    <w:rsid w:val="765C4BD9"/>
    <w:rsid w:val="794B115F"/>
    <w:rsid w:val="79EB2E31"/>
    <w:rsid w:val="7A2D0873"/>
    <w:rsid w:val="7AAC1337"/>
    <w:rsid w:val="7CB140DD"/>
    <w:rsid w:val="7D0D1982"/>
    <w:rsid w:val="7D5E4B5E"/>
    <w:rsid w:val="7EF10279"/>
    <w:rsid w:val="7FDE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  <w:rPr>
      <w:rFonts w:ascii="Times New Roman" w:hAnsi="Times New Roman" w:eastAsia="仿宋_GB2312"/>
      <w:sz w:val="32"/>
    </w:rPr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2025-12-04T08:01:00Z</dcterms:created>
  <dc:creator>七月</dc:creator>
  <cp:lastModifiedBy>Lenovo</cp:lastModifiedBy>
  <dcterms:modified xsi:type="dcterms:W3CDTF">2025-12-08T08:42:51Z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BD58C463154B4EEDB6EB5BF1F569771B</vt:lpwstr>
  </property>
</Properties>
</file>