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9120">
      <w:pPr>
        <w:spacing w:before="120" w:line="219" w:lineRule="auto"/>
        <w:jc w:val="both"/>
        <w:outlineLvl w:val="0"/>
        <w:rPr>
          <w:rFonts w:hint="eastAsia" w:ascii="方正小标宋_GBK" w:hAnsi="方正小标宋_GBK" w:eastAsia="方正小标宋_GBK" w:cs="方正小标宋_GBK"/>
          <w:b w:val="0"/>
          <w:bCs w:val="0"/>
          <w:spacing w:val="-7"/>
          <w:sz w:val="44"/>
          <w:szCs w:val="44"/>
          <w:lang w:val="en" w:eastAsia="zh-CN"/>
        </w:rPr>
      </w:pPr>
      <w:r>
        <w:rPr>
          <w:rFonts w:hint="eastAsia" w:ascii="黑体" w:hAnsi="黑体" w:eastAsia="黑体" w:cs="黑体"/>
          <w:b w:val="0"/>
          <w:bCs w:val="0"/>
          <w:spacing w:val="-7"/>
          <w:sz w:val="32"/>
          <w:szCs w:val="32"/>
          <w:lang w:val="en" w:eastAsia="zh-CN"/>
        </w:rPr>
        <w:t>附件</w:t>
      </w:r>
      <w:r>
        <w:rPr>
          <w:rFonts w:hint="eastAsia" w:ascii="Times New Roman" w:hAnsi="Times New Roman" w:eastAsia="黑体" w:cs="黑体"/>
          <w:b w:val="0"/>
          <w:bCs w:val="0"/>
          <w:spacing w:val="-7"/>
          <w:sz w:val="32"/>
          <w:szCs w:val="32"/>
          <w:lang w:val="en-US" w:eastAsia="zh-CN"/>
        </w:rPr>
        <w:t>3</w:t>
      </w:r>
    </w:p>
    <w:p w14:paraId="7505E455">
      <w:pPr>
        <w:spacing w:before="120" w:line="219" w:lineRule="auto"/>
        <w:jc w:val="center"/>
        <w:outlineLvl w:val="0"/>
        <w:rPr>
          <w:rFonts w:hint="eastAsia" w:ascii="方正小标宋_GBK" w:hAnsi="方正小标宋_GBK" w:eastAsia="方正小标宋_GBK" w:cs="方正小标宋_GBK"/>
          <w:b w:val="0"/>
          <w:bCs w:val="0"/>
          <w:spacing w:val="-7"/>
          <w:sz w:val="44"/>
          <w:szCs w:val="44"/>
          <w:lang w:val="en-US" w:eastAsia="zh-CN"/>
        </w:rPr>
      </w:pPr>
      <w:r>
        <w:rPr>
          <w:rFonts w:hint="eastAsia" w:ascii="方正小标宋_GBK" w:hAnsi="方正小标宋_GBK" w:eastAsia="方正小标宋_GBK" w:cs="方正小标宋_GBK"/>
          <w:b w:val="0"/>
          <w:bCs w:val="0"/>
          <w:spacing w:val="-7"/>
          <w:sz w:val="44"/>
          <w:szCs w:val="44"/>
          <w:lang w:val="en" w:eastAsia="zh-CN"/>
        </w:rPr>
        <w:t>广西壮族</w:t>
      </w:r>
      <w:r>
        <w:rPr>
          <w:rFonts w:hint="eastAsia" w:ascii="方正小标宋_GBK" w:hAnsi="方正小标宋_GBK" w:eastAsia="方正小标宋_GBK" w:cs="方正小标宋_GBK"/>
          <w:b w:val="0"/>
          <w:bCs w:val="0"/>
          <w:spacing w:val="-7"/>
          <w:sz w:val="44"/>
          <w:szCs w:val="44"/>
          <w:lang w:eastAsia="zh-CN"/>
        </w:rPr>
        <w:t>自治区体育局</w:t>
      </w:r>
      <w:r>
        <w:rPr>
          <w:rFonts w:hint="eastAsia" w:ascii="方正小标宋_GBK" w:hAnsi="方正小标宋_GBK" w:eastAsia="方正小标宋_GBK" w:cs="方正小标宋_GBK"/>
          <w:b w:val="0"/>
          <w:bCs w:val="0"/>
          <w:spacing w:val="-7"/>
          <w:sz w:val="44"/>
          <w:szCs w:val="44"/>
          <w:lang w:val="en-US" w:eastAsia="zh-CN"/>
        </w:rPr>
        <w:t>江南训练基地</w:t>
      </w:r>
    </w:p>
    <w:p w14:paraId="183B9766">
      <w:pPr>
        <w:spacing w:before="120" w:line="219" w:lineRule="auto"/>
        <w:jc w:val="center"/>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7"/>
          <w:sz w:val="44"/>
          <w:szCs w:val="44"/>
          <w:lang w:eastAsia="zh-CN"/>
        </w:rPr>
        <w:t>宣传物料制作</w:t>
      </w:r>
      <w:r>
        <w:rPr>
          <w:rFonts w:hint="eastAsia" w:ascii="方正小标宋_GBK" w:hAnsi="方正小标宋_GBK" w:eastAsia="方正小标宋_GBK" w:cs="方正小标宋_GBK"/>
          <w:b w:val="0"/>
          <w:bCs w:val="0"/>
          <w:spacing w:val="-7"/>
          <w:sz w:val="44"/>
          <w:szCs w:val="44"/>
          <w:lang w:val="en" w:eastAsia="zh-CN"/>
        </w:rPr>
        <w:t>服务</w:t>
      </w:r>
      <w:r>
        <w:rPr>
          <w:rFonts w:hint="eastAsia" w:ascii="方正小标宋_GBK" w:hAnsi="方正小标宋_GBK" w:eastAsia="方正小标宋_GBK" w:cs="方正小标宋_GBK"/>
          <w:b w:val="0"/>
          <w:bCs w:val="0"/>
          <w:spacing w:val="-7"/>
          <w:sz w:val="44"/>
          <w:szCs w:val="44"/>
          <w:lang w:eastAsia="zh-CN"/>
        </w:rPr>
        <w:t>商务需求响应表</w:t>
      </w:r>
    </w:p>
    <w:tbl>
      <w:tblPr>
        <w:tblStyle w:val="7"/>
        <w:tblpPr w:leftFromText="180" w:rightFromText="180" w:vertAnchor="text" w:horzAnchor="page" w:tblpX="889" w:tblpY="213"/>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3746"/>
        <w:gridCol w:w="3797"/>
        <w:gridCol w:w="1031"/>
      </w:tblGrid>
      <w:tr w14:paraId="104C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804" w:type="dxa"/>
            <w:vAlign w:val="top"/>
          </w:tcPr>
          <w:p w14:paraId="4E8482A4">
            <w:pPr>
              <w:pStyle w:val="8"/>
              <w:spacing w:before="159" w:line="221" w:lineRule="auto"/>
              <w:jc w:val="center"/>
              <w:rPr>
                <w:rFonts w:hint="eastAsia" w:ascii="黑体" w:hAnsi="黑体" w:eastAsia="黑体" w:cs="黑体"/>
              </w:rPr>
            </w:pPr>
            <w:r>
              <w:rPr>
                <w:rFonts w:hint="eastAsia" w:ascii="黑体" w:hAnsi="黑体" w:eastAsia="黑体" w:cs="黑体"/>
                <w:spacing w:val="9"/>
              </w:rPr>
              <w:t>序号</w:t>
            </w:r>
          </w:p>
        </w:tc>
        <w:tc>
          <w:tcPr>
            <w:tcW w:w="3746" w:type="dxa"/>
            <w:vAlign w:val="top"/>
          </w:tcPr>
          <w:p w14:paraId="5C4DFE8E">
            <w:pPr>
              <w:pStyle w:val="8"/>
              <w:spacing w:before="155" w:line="219" w:lineRule="auto"/>
              <w:jc w:val="center"/>
              <w:rPr>
                <w:rFonts w:hint="eastAsia" w:ascii="黑体" w:hAnsi="黑体" w:eastAsia="黑体" w:cs="黑体"/>
              </w:rPr>
            </w:pPr>
            <w:r>
              <w:rPr>
                <w:rFonts w:hint="eastAsia" w:ascii="黑体" w:hAnsi="黑体" w:eastAsia="黑体" w:cs="黑体"/>
                <w:spacing w:val="1"/>
              </w:rPr>
              <w:t>采购文件的商务要求</w:t>
            </w:r>
          </w:p>
        </w:tc>
        <w:tc>
          <w:tcPr>
            <w:tcW w:w="3797" w:type="dxa"/>
            <w:vAlign w:val="top"/>
          </w:tcPr>
          <w:p w14:paraId="3E7200E0">
            <w:pPr>
              <w:pStyle w:val="8"/>
              <w:spacing w:before="157" w:line="219" w:lineRule="auto"/>
              <w:jc w:val="center"/>
              <w:rPr>
                <w:rFonts w:hint="eastAsia" w:ascii="黑体" w:hAnsi="黑体" w:eastAsia="黑体" w:cs="黑体"/>
              </w:rPr>
            </w:pPr>
            <w:r>
              <w:rPr>
                <w:rFonts w:hint="eastAsia" w:ascii="黑体" w:hAnsi="黑体" w:eastAsia="黑体" w:cs="黑体"/>
                <w:spacing w:val="1"/>
              </w:rPr>
              <w:t>响应文件承诺的商务条款</w:t>
            </w:r>
          </w:p>
        </w:tc>
        <w:tc>
          <w:tcPr>
            <w:tcW w:w="1031" w:type="dxa"/>
            <w:vAlign w:val="top"/>
          </w:tcPr>
          <w:p w14:paraId="10321C41">
            <w:pPr>
              <w:pStyle w:val="8"/>
              <w:spacing w:before="157" w:line="219" w:lineRule="auto"/>
              <w:jc w:val="center"/>
              <w:rPr>
                <w:rFonts w:hint="eastAsia" w:ascii="黑体" w:hAnsi="黑体" w:eastAsia="黑体" w:cs="黑体"/>
              </w:rPr>
            </w:pPr>
            <w:r>
              <w:rPr>
                <w:rFonts w:hint="eastAsia" w:ascii="黑体" w:hAnsi="黑体" w:eastAsia="黑体" w:cs="黑体"/>
                <w:spacing w:val="8"/>
              </w:rPr>
              <w:t>偏离说明</w:t>
            </w:r>
          </w:p>
        </w:tc>
      </w:tr>
      <w:tr w14:paraId="7B42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5" w:hRule="atLeast"/>
        </w:trPr>
        <w:tc>
          <w:tcPr>
            <w:tcW w:w="804" w:type="dxa"/>
            <w:vAlign w:val="top"/>
          </w:tcPr>
          <w:p w14:paraId="02B3A53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47C8D96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32AC2C6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01FF439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2796BC9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40D5B50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4095169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505D7D6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4C1D84B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28DE3E4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5ECF2D5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103326A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215C583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0ED9374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043C443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sz w:val="28"/>
                <w:szCs w:val="28"/>
                <w:lang w:val="en-US" w:eastAsia="zh-CN"/>
              </w:rPr>
            </w:pPr>
          </w:p>
          <w:p w14:paraId="0FEA17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z w:val="28"/>
                <w:szCs w:val="28"/>
                <w:lang w:val="en-US" w:eastAsia="zh-CN"/>
              </w:rPr>
            </w:pPr>
            <w:r>
              <w:rPr>
                <w:rFonts w:hint="eastAsia" w:ascii="Times New Roman" w:hAnsi="Times New Roman" w:eastAsia="仿宋_GB2312" w:cs="仿宋_GB2312"/>
                <w:sz w:val="28"/>
                <w:szCs w:val="28"/>
                <w:lang w:val="en-US" w:eastAsia="zh-CN"/>
              </w:rPr>
              <w:t>1</w:t>
            </w:r>
          </w:p>
        </w:tc>
        <w:tc>
          <w:tcPr>
            <w:tcW w:w="3746" w:type="dxa"/>
            <w:vAlign w:val="top"/>
          </w:tcPr>
          <w:p w14:paraId="0FEB675C">
            <w:pPr>
              <w:pStyle w:val="8"/>
              <w:keepNext w:val="0"/>
              <w:keepLines w:val="0"/>
              <w:pageBreakBefore w:val="0"/>
              <w:widowControl/>
              <w:kinsoku w:val="0"/>
              <w:wordWrap/>
              <w:overflowPunct/>
              <w:topLinePunct w:val="0"/>
              <w:autoSpaceDE w:val="0"/>
              <w:autoSpaceDN w:val="0"/>
              <w:bidi w:val="0"/>
              <w:adjustRightInd w:val="0"/>
              <w:snapToGrid w:val="0"/>
              <w:spacing w:before="90" w:line="440" w:lineRule="exact"/>
              <w:jc w:val="both"/>
              <w:textAlignment w:val="baseline"/>
              <w:rPr>
                <w:rFonts w:hint="eastAsia"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lang w:val="en"/>
              </w:rPr>
              <w:t xml:space="preserve">    </w:t>
            </w:r>
            <w:r>
              <w:rPr>
                <w:rFonts w:hint="eastAsia" w:ascii="仿宋_GB2312" w:hAnsi="仿宋_GB2312" w:eastAsia="仿宋_GB2312" w:cs="仿宋_GB2312"/>
                <w:b/>
                <w:bCs/>
                <w:sz w:val="28"/>
                <w:szCs w:val="28"/>
                <w:highlight w:val="none"/>
              </w:rPr>
              <w:t>一、投标报价要求</w:t>
            </w:r>
          </w:p>
          <w:p w14:paraId="151ABF11">
            <w:pPr>
              <w:pStyle w:val="8"/>
              <w:keepNext w:val="0"/>
              <w:keepLines w:val="0"/>
              <w:pageBreakBefore w:val="0"/>
              <w:widowControl/>
              <w:kinsoku w:val="0"/>
              <w:wordWrap/>
              <w:overflowPunct/>
              <w:topLinePunct w:val="0"/>
              <w:autoSpaceDE w:val="0"/>
              <w:autoSpaceDN w:val="0"/>
              <w:bidi w:val="0"/>
              <w:adjustRightInd w:val="0"/>
              <w:snapToGrid w:val="0"/>
              <w:spacing w:before="54" w:line="440" w:lineRule="exact"/>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pacing w:val="-1"/>
                <w:sz w:val="28"/>
                <w:szCs w:val="28"/>
                <w:highlight w:val="none"/>
                <w:lang w:val="en"/>
              </w:rPr>
              <w:t xml:space="preserve">    （一）</w:t>
            </w:r>
            <w:r>
              <w:rPr>
                <w:rFonts w:hint="eastAsia" w:ascii="仿宋_GB2312" w:hAnsi="仿宋_GB2312" w:eastAsia="仿宋_GB2312" w:cs="仿宋_GB2312"/>
                <w:spacing w:val="-1"/>
                <w:sz w:val="28"/>
                <w:szCs w:val="28"/>
                <w:highlight w:val="none"/>
              </w:rPr>
              <w:t>报价方式：</w:t>
            </w:r>
          </w:p>
          <w:p w14:paraId="22D3B388">
            <w:pPr>
              <w:pStyle w:val="8"/>
              <w:keepNext w:val="0"/>
              <w:keepLines w:val="0"/>
              <w:pageBreakBefore w:val="0"/>
              <w:widowControl/>
              <w:kinsoku w:val="0"/>
              <w:wordWrap/>
              <w:overflowPunct/>
              <w:topLinePunct w:val="0"/>
              <w:autoSpaceDE w:val="0"/>
              <w:autoSpaceDN w:val="0"/>
              <w:bidi w:val="0"/>
              <w:adjustRightInd w:val="0"/>
              <w:snapToGrid w:val="0"/>
              <w:spacing w:before="35" w:line="440" w:lineRule="exact"/>
              <w:ind w:right="159"/>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
              </w:rPr>
              <w:t xml:space="preserve">    </w:t>
            </w:r>
            <w:r>
              <w:rPr>
                <w:rFonts w:hint="default" w:ascii="Times New Roman" w:hAnsi="Times New Roman" w:eastAsia="仿宋_GB2312" w:cs="仿宋_GB2312"/>
                <w:sz w:val="28"/>
                <w:szCs w:val="28"/>
                <w:highlight w:val="none"/>
                <w:lang w:val="en"/>
              </w:rPr>
              <w:t>1</w:t>
            </w:r>
            <w:r>
              <w:rPr>
                <w:rFonts w:hint="default"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rPr>
              <w:t>报价方式为总价报价(但须含各</w:t>
            </w:r>
            <w:r>
              <w:rPr>
                <w:rFonts w:hint="eastAsia" w:ascii="仿宋_GB2312" w:hAnsi="仿宋_GB2312" w:eastAsia="仿宋_GB2312" w:cs="仿宋_GB2312"/>
                <w:spacing w:val="1"/>
                <w:sz w:val="28"/>
                <w:szCs w:val="28"/>
                <w:highlight w:val="none"/>
              </w:rPr>
              <w:t>单项报价),实际结算价=各项中标单价×各项数量(数量以实际需求为</w:t>
            </w:r>
            <w:r>
              <w:rPr>
                <w:rFonts w:hint="eastAsia" w:ascii="仿宋_GB2312" w:hAnsi="仿宋_GB2312" w:eastAsia="仿宋_GB2312" w:cs="仿宋_GB2312"/>
                <w:spacing w:val="-10"/>
                <w:sz w:val="28"/>
                <w:szCs w:val="28"/>
                <w:highlight w:val="none"/>
              </w:rPr>
              <w:t>准</w:t>
            </w:r>
            <w:r>
              <w:rPr>
                <w:rFonts w:hint="eastAsia" w:ascii="仿宋_GB2312" w:hAnsi="仿宋_GB2312" w:eastAsia="仿宋_GB2312" w:cs="仿宋_GB2312"/>
                <w:spacing w:val="-21"/>
                <w:sz w:val="28"/>
                <w:szCs w:val="28"/>
                <w:highlight w:val="none"/>
              </w:rPr>
              <w:t xml:space="preserve"> </w:t>
            </w:r>
            <w:r>
              <w:rPr>
                <w:rFonts w:hint="eastAsia" w:ascii="仿宋_GB2312" w:hAnsi="仿宋_GB2312" w:eastAsia="仿宋_GB2312" w:cs="仿宋_GB2312"/>
                <w:spacing w:val="-10"/>
                <w:sz w:val="28"/>
                <w:szCs w:val="28"/>
                <w:highlight w:val="none"/>
              </w:rPr>
              <w:t>);</w:t>
            </w:r>
          </w:p>
          <w:p w14:paraId="49ABFCE9">
            <w:pPr>
              <w:pStyle w:val="8"/>
              <w:keepNext w:val="0"/>
              <w:keepLines w:val="0"/>
              <w:pageBreakBefore w:val="0"/>
              <w:widowControl/>
              <w:kinsoku w:val="0"/>
              <w:wordWrap/>
              <w:overflowPunct/>
              <w:topLinePunct w:val="0"/>
              <w:autoSpaceDE w:val="0"/>
              <w:autoSpaceDN w:val="0"/>
              <w:bidi w:val="0"/>
              <w:adjustRightInd w:val="0"/>
              <w:snapToGrid w:val="0"/>
              <w:spacing w:before="53" w:line="440" w:lineRule="exact"/>
              <w:ind w:right="157"/>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
              </w:rPr>
              <w:t xml:space="preserve">    </w:t>
            </w:r>
            <w:r>
              <w:rPr>
                <w:rFonts w:hint="default" w:ascii="Times New Roman" w:hAnsi="Times New Roman" w:eastAsia="仿宋_GB2312" w:cs="仿宋_GB2312"/>
                <w:sz w:val="28"/>
                <w:szCs w:val="28"/>
                <w:highlight w:val="none"/>
                <w:lang w:val="en"/>
              </w:rPr>
              <w:t>2</w:t>
            </w:r>
            <w:r>
              <w:rPr>
                <w:rFonts w:hint="default"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rPr>
              <w:t>投标总报价超过预算金额</w:t>
            </w:r>
            <w:r>
              <w:rPr>
                <w:rFonts w:hint="eastAsia" w:ascii="仿宋_GB2312" w:hAnsi="仿宋_GB2312" w:eastAsia="仿宋_GB2312" w:cs="仿宋_GB2312"/>
                <w:spacing w:val="-1"/>
                <w:sz w:val="28"/>
                <w:szCs w:val="28"/>
                <w:highlight w:val="none"/>
              </w:rPr>
              <w:t>的</w:t>
            </w:r>
            <w:r>
              <w:rPr>
                <w:rFonts w:hint="eastAsia" w:ascii="仿宋_GB2312" w:hAnsi="仿宋_GB2312" w:eastAsia="仿宋_GB2312" w:cs="仿宋_GB2312"/>
                <w:spacing w:val="-1"/>
                <w:sz w:val="28"/>
                <w:szCs w:val="28"/>
                <w:highlight w:val="none"/>
                <w:lang w:eastAsia="zh-CN"/>
              </w:rPr>
              <w:t>为</w:t>
            </w:r>
            <w:r>
              <w:rPr>
                <w:rFonts w:hint="eastAsia" w:ascii="仿宋_GB2312" w:hAnsi="仿宋_GB2312" w:eastAsia="仿宋_GB2312" w:cs="仿宋_GB2312"/>
                <w:spacing w:val="-1"/>
                <w:sz w:val="28"/>
                <w:szCs w:val="28"/>
                <w:highlight w:val="none"/>
              </w:rPr>
              <w:t>投标无效。</w:t>
            </w:r>
          </w:p>
          <w:p w14:paraId="7717D3C8">
            <w:pPr>
              <w:pStyle w:val="8"/>
              <w:keepNext w:val="0"/>
              <w:keepLines w:val="0"/>
              <w:pageBreakBefore w:val="0"/>
              <w:widowControl/>
              <w:kinsoku w:val="0"/>
              <w:wordWrap/>
              <w:overflowPunct/>
              <w:topLinePunct w:val="0"/>
              <w:autoSpaceDE w:val="0"/>
              <w:autoSpaceDN w:val="0"/>
              <w:bidi w:val="0"/>
              <w:adjustRightInd w:val="0"/>
              <w:snapToGrid w:val="0"/>
              <w:spacing w:before="67" w:line="440" w:lineRule="exact"/>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pacing w:val="-1"/>
                <w:sz w:val="28"/>
                <w:szCs w:val="28"/>
                <w:highlight w:val="none"/>
                <w:lang w:val="en"/>
              </w:rPr>
              <w:t xml:space="preserve">    （二）</w:t>
            </w:r>
            <w:r>
              <w:rPr>
                <w:rFonts w:hint="eastAsia" w:ascii="仿宋_GB2312" w:hAnsi="仿宋_GB2312" w:eastAsia="仿宋_GB2312" w:cs="仿宋_GB2312"/>
                <w:spacing w:val="-1"/>
                <w:sz w:val="28"/>
                <w:szCs w:val="28"/>
                <w:highlight w:val="none"/>
              </w:rPr>
              <w:t>报价必须含以下部分，包括：</w:t>
            </w:r>
          </w:p>
          <w:p w14:paraId="1798A445">
            <w:pPr>
              <w:pStyle w:val="8"/>
              <w:keepNext w:val="0"/>
              <w:keepLines w:val="0"/>
              <w:pageBreakBefore w:val="0"/>
              <w:widowControl/>
              <w:kinsoku w:val="0"/>
              <w:wordWrap/>
              <w:overflowPunct/>
              <w:topLinePunct w:val="0"/>
              <w:autoSpaceDE w:val="0"/>
              <w:autoSpaceDN w:val="0"/>
              <w:bidi w:val="0"/>
              <w:adjustRightInd w:val="0"/>
              <w:snapToGrid w:val="0"/>
              <w:spacing w:before="73" w:line="440" w:lineRule="exact"/>
              <w:jc w:val="both"/>
              <w:textAlignment w:val="baseline"/>
              <w:rPr>
                <w:rFonts w:hint="eastAsia" w:ascii="仿宋_GB2312" w:hAnsi="仿宋_GB2312" w:eastAsia="仿宋_GB2312" w:cs="仿宋_GB2312"/>
                <w:spacing w:val="10"/>
                <w:sz w:val="28"/>
                <w:szCs w:val="28"/>
                <w:highlight w:val="none"/>
              </w:rPr>
            </w:pPr>
            <w:r>
              <w:rPr>
                <w:rFonts w:hint="default" w:ascii="仿宋_GB2312" w:hAnsi="仿宋_GB2312" w:eastAsia="仿宋_GB2312" w:cs="仿宋_GB2312"/>
                <w:spacing w:val="10"/>
                <w:sz w:val="28"/>
                <w:szCs w:val="28"/>
                <w:highlight w:val="none"/>
                <w:lang w:val="en"/>
              </w:rPr>
              <w:t xml:space="preserve">    </w:t>
            </w:r>
            <w:r>
              <w:rPr>
                <w:rFonts w:hint="default" w:ascii="Times New Roman" w:hAnsi="Times New Roman" w:eastAsia="仿宋_GB2312" w:cs="仿宋_GB2312"/>
                <w:spacing w:val="10"/>
                <w:sz w:val="28"/>
                <w:szCs w:val="28"/>
                <w:highlight w:val="none"/>
                <w:lang w:val="en"/>
              </w:rPr>
              <w:t>1</w:t>
            </w:r>
            <w:r>
              <w:rPr>
                <w:rFonts w:hint="default" w:ascii="仿宋_GB2312" w:hAnsi="仿宋_GB2312" w:eastAsia="仿宋_GB2312" w:cs="仿宋_GB2312"/>
                <w:spacing w:val="10"/>
                <w:sz w:val="28"/>
                <w:szCs w:val="28"/>
                <w:highlight w:val="none"/>
                <w:lang w:val="en"/>
              </w:rPr>
              <w:t>.</w:t>
            </w:r>
            <w:r>
              <w:rPr>
                <w:rFonts w:hint="eastAsia" w:ascii="仿宋_GB2312" w:hAnsi="仿宋_GB2312" w:eastAsia="仿宋_GB2312" w:cs="仿宋_GB2312"/>
                <w:spacing w:val="10"/>
                <w:sz w:val="28"/>
                <w:szCs w:val="28"/>
                <w:highlight w:val="none"/>
              </w:rPr>
              <w:t>项目总价与各单项报价；</w:t>
            </w:r>
          </w:p>
          <w:p w14:paraId="769F79C8">
            <w:pPr>
              <w:pStyle w:val="8"/>
              <w:keepNext w:val="0"/>
              <w:keepLines w:val="0"/>
              <w:pageBreakBefore w:val="0"/>
              <w:widowControl/>
              <w:kinsoku w:val="0"/>
              <w:wordWrap/>
              <w:overflowPunct/>
              <w:topLinePunct w:val="0"/>
              <w:autoSpaceDE w:val="0"/>
              <w:autoSpaceDN w:val="0"/>
              <w:bidi w:val="0"/>
              <w:adjustRightInd w:val="0"/>
              <w:snapToGrid w:val="0"/>
              <w:spacing w:before="58" w:line="440" w:lineRule="exact"/>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pacing w:val="9"/>
                <w:sz w:val="28"/>
                <w:szCs w:val="28"/>
                <w:highlight w:val="none"/>
                <w:lang w:val="en"/>
              </w:rPr>
              <w:t xml:space="preserve">    </w:t>
            </w:r>
            <w:r>
              <w:rPr>
                <w:rFonts w:hint="default" w:ascii="Times New Roman" w:hAnsi="Times New Roman" w:eastAsia="仿宋_GB2312" w:cs="仿宋_GB2312"/>
                <w:spacing w:val="9"/>
                <w:sz w:val="28"/>
                <w:szCs w:val="28"/>
                <w:highlight w:val="none"/>
                <w:lang w:val="en"/>
              </w:rPr>
              <w:t>2</w:t>
            </w:r>
            <w:r>
              <w:rPr>
                <w:rFonts w:hint="default" w:ascii="仿宋_GB2312" w:hAnsi="仿宋_GB2312" w:eastAsia="仿宋_GB2312" w:cs="仿宋_GB2312"/>
                <w:spacing w:val="9"/>
                <w:sz w:val="28"/>
                <w:szCs w:val="28"/>
                <w:highlight w:val="none"/>
                <w:lang w:val="en"/>
              </w:rPr>
              <w:t>.</w:t>
            </w:r>
            <w:r>
              <w:rPr>
                <w:rFonts w:hint="eastAsia" w:ascii="仿宋_GB2312" w:hAnsi="仿宋_GB2312" w:eastAsia="仿宋_GB2312" w:cs="仿宋_GB2312"/>
                <w:spacing w:val="9"/>
                <w:sz w:val="28"/>
                <w:szCs w:val="28"/>
                <w:highlight w:val="none"/>
              </w:rPr>
              <w:t>必要的保险费用和各项税金；</w:t>
            </w:r>
          </w:p>
          <w:p w14:paraId="2AFCCEE8">
            <w:pPr>
              <w:pStyle w:val="8"/>
              <w:keepNext w:val="0"/>
              <w:keepLines w:val="0"/>
              <w:pageBreakBefore w:val="0"/>
              <w:widowControl/>
              <w:kinsoku w:val="0"/>
              <w:wordWrap/>
              <w:overflowPunct/>
              <w:topLinePunct w:val="0"/>
              <w:autoSpaceDE w:val="0"/>
              <w:autoSpaceDN w:val="0"/>
              <w:bidi w:val="0"/>
              <w:adjustRightInd w:val="0"/>
              <w:snapToGrid w:val="0"/>
              <w:spacing w:before="59" w:line="440" w:lineRule="exact"/>
              <w:ind w:right="75"/>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
              </w:rPr>
              <w:t xml:space="preserve">    </w:t>
            </w:r>
            <w:r>
              <w:rPr>
                <w:rFonts w:hint="default" w:ascii="Times New Roman" w:hAnsi="Times New Roman" w:eastAsia="仿宋_GB2312" w:cs="仿宋_GB2312"/>
                <w:sz w:val="28"/>
                <w:szCs w:val="28"/>
                <w:highlight w:val="none"/>
                <w:lang w:val="en"/>
              </w:rPr>
              <w:t>3</w:t>
            </w:r>
            <w:r>
              <w:rPr>
                <w:rFonts w:hint="default"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rPr>
              <w:t>其他：投标人在报价时所报的投标单价，指完成清单中一个规定计量</w:t>
            </w:r>
            <w:r>
              <w:rPr>
                <w:rFonts w:hint="eastAsia" w:ascii="仿宋_GB2312" w:hAnsi="仿宋_GB2312" w:eastAsia="仿宋_GB2312" w:cs="仿宋_GB2312"/>
                <w:spacing w:val="1"/>
                <w:sz w:val="28"/>
                <w:szCs w:val="28"/>
                <w:highlight w:val="none"/>
              </w:rPr>
              <w:t>子目所需的全部费用，包括但不限于人工费及政策性人工费调整、材料费</w:t>
            </w:r>
            <w:r>
              <w:rPr>
                <w:rFonts w:hint="eastAsia" w:ascii="仿宋_GB2312" w:hAnsi="仿宋_GB2312" w:eastAsia="仿宋_GB2312" w:cs="仿宋_GB2312"/>
                <w:spacing w:val="-8"/>
                <w:sz w:val="28"/>
                <w:szCs w:val="28"/>
                <w:highlight w:val="none"/>
              </w:rPr>
              <w:t>(材料损耗)、机械使用费、非标产品模具加工费、包装运输费、赶工补</w:t>
            </w:r>
            <w:r>
              <w:rPr>
                <w:rFonts w:hint="eastAsia" w:ascii="仿宋_GB2312" w:hAnsi="仿宋_GB2312" w:eastAsia="仿宋_GB2312" w:cs="仿宋_GB2312"/>
                <w:spacing w:val="-13"/>
                <w:sz w:val="28"/>
                <w:szCs w:val="28"/>
                <w:highlight w:val="none"/>
              </w:rPr>
              <w:t>偿费、样品费、调试费、综合管理费、</w:t>
            </w:r>
            <w:r>
              <w:rPr>
                <w:rFonts w:hint="eastAsia" w:ascii="仿宋_GB2312" w:hAnsi="仿宋_GB2312" w:eastAsia="仿宋_GB2312" w:cs="仿宋_GB2312"/>
                <w:spacing w:val="-9"/>
                <w:sz w:val="28"/>
                <w:szCs w:val="28"/>
                <w:highlight w:val="none"/>
              </w:rPr>
              <w:t>合理利润、税金、水电费、清洁卫生</w:t>
            </w:r>
            <w:r>
              <w:rPr>
                <w:rFonts w:hint="eastAsia" w:ascii="仿宋_GB2312" w:hAnsi="仿宋_GB2312" w:eastAsia="仿宋_GB2312" w:cs="仿宋_GB2312"/>
                <w:spacing w:val="-8"/>
                <w:sz w:val="28"/>
                <w:szCs w:val="28"/>
                <w:highlight w:val="none"/>
              </w:rPr>
              <w:t>费、垃圾清运费、保险费、总包单位</w:t>
            </w:r>
            <w:r>
              <w:rPr>
                <w:rFonts w:hint="eastAsia" w:ascii="仿宋_GB2312" w:hAnsi="仿宋_GB2312" w:eastAsia="仿宋_GB2312" w:cs="仿宋_GB2312"/>
                <w:spacing w:val="1"/>
                <w:sz w:val="28"/>
                <w:szCs w:val="28"/>
                <w:highlight w:val="none"/>
              </w:rPr>
              <w:t>管理费以及投标人认为可能发生的</w:t>
            </w:r>
            <w:r>
              <w:rPr>
                <w:rFonts w:hint="eastAsia" w:ascii="仿宋_GB2312" w:hAnsi="仿宋_GB2312" w:eastAsia="仿宋_GB2312" w:cs="仿宋_GB2312"/>
                <w:spacing w:val="8"/>
                <w:sz w:val="28"/>
                <w:szCs w:val="28"/>
                <w:highlight w:val="none"/>
              </w:rPr>
              <w:t xml:space="preserve"> </w:t>
            </w:r>
            <w:r>
              <w:rPr>
                <w:rFonts w:hint="eastAsia" w:ascii="仿宋_GB2312" w:hAnsi="仿宋_GB2312" w:eastAsia="仿宋_GB2312" w:cs="仿宋_GB2312"/>
                <w:spacing w:val="6"/>
                <w:sz w:val="28"/>
                <w:szCs w:val="28"/>
                <w:highlight w:val="none"/>
              </w:rPr>
              <w:t>风险费等直至完成工程交付标准所</w:t>
            </w:r>
            <w:r>
              <w:rPr>
                <w:rFonts w:hint="eastAsia" w:ascii="仿宋_GB2312" w:hAnsi="仿宋_GB2312" w:eastAsia="仿宋_GB2312" w:cs="仿宋_GB2312"/>
                <w:sz w:val="28"/>
                <w:szCs w:val="28"/>
                <w:highlight w:val="none"/>
                <w:lang w:val="en-US" w:eastAsia="zh-CN"/>
              </w:rPr>
              <w:t>需</w:t>
            </w:r>
            <w:bookmarkStart w:id="0" w:name="_GoBack"/>
            <w:bookmarkEnd w:id="0"/>
            <w:r>
              <w:rPr>
                <w:rFonts w:hint="eastAsia" w:ascii="仿宋_GB2312" w:hAnsi="仿宋_GB2312" w:eastAsia="仿宋_GB2312" w:cs="仿宋_GB2312"/>
                <w:sz w:val="28"/>
                <w:szCs w:val="28"/>
                <w:highlight w:val="none"/>
              </w:rPr>
              <w:t>的一切费用以及维保期间(养护期</w:t>
            </w:r>
            <w:r>
              <w:rPr>
                <w:rFonts w:hint="eastAsia" w:ascii="仿宋_GB2312" w:hAnsi="仿宋_GB2312" w:eastAsia="仿宋_GB2312" w:cs="仿宋_GB2312"/>
                <w:spacing w:val="18"/>
                <w:sz w:val="28"/>
                <w:szCs w:val="28"/>
                <w:highlight w:val="none"/>
              </w:rPr>
              <w:t>间)的全部费用；</w:t>
            </w:r>
          </w:p>
          <w:p w14:paraId="1793B32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85" w:line="440" w:lineRule="exact"/>
              <w:ind w:right="77" w:rightChars="0" w:firstLine="280"/>
              <w:jc w:val="both"/>
              <w:textAlignment w:val="baseline"/>
              <w:rPr>
                <w:rFonts w:hint="eastAsia" w:ascii="仿宋_GB2312" w:hAnsi="仿宋_GB2312" w:eastAsia="仿宋_GB2312" w:cs="仿宋_GB2312"/>
                <w:spacing w:val="-8"/>
                <w:sz w:val="28"/>
                <w:szCs w:val="28"/>
                <w:highlight w:val="none"/>
              </w:rPr>
            </w:pPr>
            <w:r>
              <w:rPr>
                <w:rFonts w:hint="default" w:ascii="Times New Roman" w:hAnsi="Times New Roman" w:eastAsia="仿宋_GB2312" w:cs="仿宋_GB2312"/>
                <w:sz w:val="28"/>
                <w:szCs w:val="28"/>
                <w:highlight w:val="none"/>
                <w:lang w:val="en" w:eastAsia="zh-CN"/>
              </w:rPr>
              <w:t xml:space="preserve"> （三）</w:t>
            </w:r>
            <w:r>
              <w:rPr>
                <w:rFonts w:hint="eastAsia" w:ascii="仿宋_GB2312" w:hAnsi="仿宋_GB2312" w:eastAsia="仿宋_GB2312" w:cs="仿宋_GB2312"/>
                <w:spacing w:val="1"/>
                <w:sz w:val="28"/>
                <w:szCs w:val="28"/>
                <w:highlight w:val="none"/>
              </w:rPr>
              <w:t>禁止低于成本恶意低价竞标</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rPr>
              <w:t>如</w:t>
            </w:r>
            <w:r>
              <w:rPr>
                <w:rFonts w:hint="eastAsia" w:ascii="仿宋_GB2312" w:hAnsi="仿宋_GB2312" w:eastAsia="仿宋_GB2312" w:cs="仿宋_GB2312"/>
                <w:sz w:val="28"/>
                <w:szCs w:val="28"/>
                <w:highlight w:val="none"/>
              </w:rPr>
              <w:t>出现恶意竞标，报相关主管部门处</w:t>
            </w:r>
            <w:r>
              <w:rPr>
                <w:rFonts w:hint="eastAsia" w:ascii="仿宋_GB2312" w:hAnsi="仿宋_GB2312" w:eastAsia="仿宋_GB2312" w:cs="仿宋_GB2312"/>
                <w:sz w:val="28"/>
                <w:szCs w:val="28"/>
                <w:highlight w:val="none"/>
                <w:lang w:val="en-US" w:eastAsia="zh-CN"/>
              </w:rPr>
              <w:t>理</w:t>
            </w:r>
            <w:r>
              <w:rPr>
                <w:rFonts w:hint="eastAsia" w:ascii="仿宋_GB2312" w:hAnsi="仿宋_GB2312" w:eastAsia="仿宋_GB2312" w:cs="仿宋_GB2312"/>
                <w:spacing w:val="-8"/>
                <w:sz w:val="28"/>
                <w:szCs w:val="28"/>
                <w:highlight w:val="none"/>
              </w:rPr>
              <w:t>；</w:t>
            </w:r>
          </w:p>
          <w:p w14:paraId="14C98876">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85" w:line="440" w:lineRule="exact"/>
              <w:ind w:right="77" w:rightChars="0" w:firstLine="280"/>
              <w:jc w:val="both"/>
              <w:textAlignment w:val="baseline"/>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
              </w:rPr>
              <w:t xml:space="preserve"> （四）</w:t>
            </w:r>
            <w:r>
              <w:rPr>
                <w:rFonts w:hint="eastAsia" w:ascii="仿宋_GB2312" w:hAnsi="仿宋_GB2312" w:eastAsia="仿宋_GB2312" w:cs="仿宋_GB2312"/>
                <w:sz w:val="28"/>
                <w:szCs w:val="28"/>
                <w:highlight w:val="none"/>
              </w:rPr>
              <w:t>请报价供应商务必认真阅读各项</w:t>
            </w:r>
            <w:r>
              <w:rPr>
                <w:rFonts w:hint="eastAsia" w:ascii="仿宋_GB2312" w:hAnsi="仿宋_GB2312" w:eastAsia="仿宋_GB2312" w:cs="仿宋_GB2312"/>
                <w:spacing w:val="-2"/>
                <w:sz w:val="28"/>
                <w:szCs w:val="28"/>
                <w:highlight w:val="none"/>
              </w:rPr>
              <w:t>描述说明，特别是商务要求条款</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2"/>
                <w:sz w:val="28"/>
                <w:szCs w:val="28"/>
                <w:highlight w:val="none"/>
                <w:lang w:val="en-US" w:eastAsia="zh-CN"/>
              </w:rPr>
              <w:t>一</w:t>
            </w:r>
            <w:r>
              <w:rPr>
                <w:rFonts w:hint="eastAsia" w:ascii="仿宋_GB2312" w:hAnsi="仿宋_GB2312" w:eastAsia="仿宋_GB2312" w:cs="仿宋_GB2312"/>
                <w:sz w:val="28"/>
                <w:szCs w:val="28"/>
                <w:highlight w:val="none"/>
              </w:rPr>
              <w:t>旦中标必须严格按照相关条款提供</w:t>
            </w:r>
            <w:r>
              <w:rPr>
                <w:rFonts w:hint="eastAsia" w:ascii="仿宋_GB2312" w:hAnsi="仿宋_GB2312" w:eastAsia="仿宋_GB2312" w:cs="仿宋_GB2312"/>
                <w:spacing w:val="1"/>
                <w:sz w:val="28"/>
                <w:szCs w:val="28"/>
                <w:highlight w:val="none"/>
              </w:rPr>
              <w:t>服务</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rPr>
              <w:t>如有违约上报上级政采主管部</w:t>
            </w:r>
            <w:r>
              <w:rPr>
                <w:rFonts w:hint="eastAsia" w:ascii="仿宋_GB2312" w:hAnsi="仿宋_GB2312" w:eastAsia="仿宋_GB2312" w:cs="仿宋_GB2312"/>
                <w:spacing w:val="17"/>
                <w:sz w:val="28"/>
                <w:szCs w:val="28"/>
                <w:highlight w:val="none"/>
              </w:rPr>
              <w:t>门按规定进行处罚；</w:t>
            </w:r>
          </w:p>
        </w:tc>
        <w:tc>
          <w:tcPr>
            <w:tcW w:w="3797" w:type="dxa"/>
            <w:vAlign w:val="top"/>
          </w:tcPr>
          <w:p w14:paraId="29B2D042">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14"/>
                <w:sz w:val="28"/>
                <w:szCs w:val="28"/>
                <w:highlight w:val="none"/>
                <w:lang w:val="en-US" w:eastAsia="zh-CN"/>
              </w:rPr>
            </w:pPr>
            <w:r>
              <w:rPr>
                <w:rFonts w:hint="default" w:ascii="仿宋_GB2312" w:hAnsi="仿宋_GB2312" w:eastAsia="仿宋_GB2312" w:cs="仿宋_GB2312"/>
                <w:b/>
                <w:bCs/>
                <w:sz w:val="28"/>
                <w:szCs w:val="28"/>
                <w:highlight w:val="none"/>
                <w:lang w:val="en"/>
              </w:rPr>
              <w:t xml:space="preserve">  </w:t>
            </w:r>
          </w:p>
        </w:tc>
        <w:tc>
          <w:tcPr>
            <w:tcW w:w="1031" w:type="dxa"/>
            <w:vAlign w:val="top"/>
          </w:tcPr>
          <w:p w14:paraId="2896C452">
            <w:pPr>
              <w:spacing w:line="248" w:lineRule="auto"/>
              <w:jc w:val="both"/>
              <w:rPr>
                <w:rFonts w:hint="eastAsia" w:ascii="仿宋_GB2312" w:hAnsi="仿宋_GB2312" w:eastAsia="仿宋_GB2312" w:cs="仿宋_GB2312"/>
                <w:sz w:val="28"/>
                <w:szCs w:val="28"/>
              </w:rPr>
            </w:pPr>
          </w:p>
          <w:p w14:paraId="7F0974F0">
            <w:pPr>
              <w:spacing w:line="248" w:lineRule="auto"/>
              <w:jc w:val="both"/>
              <w:rPr>
                <w:rFonts w:hint="eastAsia" w:ascii="仿宋_GB2312" w:hAnsi="仿宋_GB2312" w:eastAsia="仿宋_GB2312" w:cs="仿宋_GB2312"/>
                <w:sz w:val="28"/>
                <w:szCs w:val="28"/>
              </w:rPr>
            </w:pPr>
          </w:p>
          <w:p w14:paraId="39F9091A">
            <w:pPr>
              <w:spacing w:line="248" w:lineRule="auto"/>
              <w:jc w:val="both"/>
              <w:rPr>
                <w:rFonts w:hint="eastAsia" w:ascii="仿宋_GB2312" w:hAnsi="仿宋_GB2312" w:eastAsia="仿宋_GB2312" w:cs="仿宋_GB2312"/>
                <w:sz w:val="28"/>
                <w:szCs w:val="28"/>
              </w:rPr>
            </w:pPr>
          </w:p>
          <w:p w14:paraId="501CD130">
            <w:pPr>
              <w:spacing w:line="248" w:lineRule="auto"/>
              <w:jc w:val="both"/>
              <w:rPr>
                <w:rFonts w:hint="eastAsia" w:ascii="仿宋_GB2312" w:hAnsi="仿宋_GB2312" w:eastAsia="仿宋_GB2312" w:cs="仿宋_GB2312"/>
                <w:sz w:val="28"/>
                <w:szCs w:val="28"/>
              </w:rPr>
            </w:pPr>
          </w:p>
          <w:p w14:paraId="355C843C">
            <w:pPr>
              <w:spacing w:line="248" w:lineRule="auto"/>
              <w:jc w:val="both"/>
              <w:rPr>
                <w:rFonts w:hint="eastAsia" w:ascii="仿宋_GB2312" w:hAnsi="仿宋_GB2312" w:eastAsia="仿宋_GB2312" w:cs="仿宋_GB2312"/>
                <w:sz w:val="28"/>
                <w:szCs w:val="28"/>
              </w:rPr>
            </w:pPr>
          </w:p>
          <w:p w14:paraId="719F69E9">
            <w:pPr>
              <w:spacing w:line="248" w:lineRule="auto"/>
              <w:jc w:val="both"/>
              <w:rPr>
                <w:rFonts w:hint="eastAsia" w:ascii="仿宋_GB2312" w:hAnsi="仿宋_GB2312" w:eastAsia="仿宋_GB2312" w:cs="仿宋_GB2312"/>
                <w:sz w:val="28"/>
                <w:szCs w:val="28"/>
              </w:rPr>
            </w:pPr>
          </w:p>
          <w:p w14:paraId="66CCBF8A">
            <w:pPr>
              <w:spacing w:line="248" w:lineRule="auto"/>
              <w:jc w:val="both"/>
              <w:rPr>
                <w:rFonts w:hint="eastAsia" w:ascii="仿宋_GB2312" w:hAnsi="仿宋_GB2312" w:eastAsia="仿宋_GB2312" w:cs="仿宋_GB2312"/>
                <w:sz w:val="28"/>
                <w:szCs w:val="28"/>
              </w:rPr>
            </w:pPr>
          </w:p>
          <w:p w14:paraId="522957CE">
            <w:pPr>
              <w:spacing w:line="248" w:lineRule="auto"/>
              <w:jc w:val="both"/>
              <w:rPr>
                <w:rFonts w:hint="eastAsia" w:ascii="仿宋_GB2312" w:hAnsi="仿宋_GB2312" w:eastAsia="仿宋_GB2312" w:cs="仿宋_GB2312"/>
                <w:sz w:val="28"/>
                <w:szCs w:val="28"/>
              </w:rPr>
            </w:pPr>
          </w:p>
          <w:p w14:paraId="38E975B0">
            <w:pPr>
              <w:spacing w:line="248" w:lineRule="auto"/>
              <w:jc w:val="both"/>
              <w:rPr>
                <w:rFonts w:hint="eastAsia" w:ascii="仿宋_GB2312" w:hAnsi="仿宋_GB2312" w:eastAsia="仿宋_GB2312" w:cs="仿宋_GB2312"/>
                <w:sz w:val="28"/>
                <w:szCs w:val="28"/>
              </w:rPr>
            </w:pPr>
          </w:p>
          <w:p w14:paraId="4EF14FF9">
            <w:pPr>
              <w:spacing w:line="248" w:lineRule="auto"/>
              <w:jc w:val="both"/>
              <w:rPr>
                <w:rFonts w:hint="eastAsia" w:ascii="仿宋_GB2312" w:hAnsi="仿宋_GB2312" w:eastAsia="仿宋_GB2312" w:cs="仿宋_GB2312"/>
                <w:sz w:val="28"/>
                <w:szCs w:val="28"/>
              </w:rPr>
            </w:pPr>
          </w:p>
          <w:p w14:paraId="55F3441A">
            <w:pPr>
              <w:spacing w:line="248" w:lineRule="auto"/>
              <w:jc w:val="both"/>
              <w:rPr>
                <w:rFonts w:hint="eastAsia" w:ascii="仿宋_GB2312" w:hAnsi="仿宋_GB2312" w:eastAsia="仿宋_GB2312" w:cs="仿宋_GB2312"/>
                <w:sz w:val="28"/>
                <w:szCs w:val="28"/>
              </w:rPr>
            </w:pPr>
          </w:p>
          <w:p w14:paraId="77AFA088">
            <w:pPr>
              <w:spacing w:line="248" w:lineRule="auto"/>
              <w:jc w:val="both"/>
              <w:rPr>
                <w:rFonts w:hint="eastAsia" w:ascii="仿宋_GB2312" w:hAnsi="仿宋_GB2312" w:eastAsia="仿宋_GB2312" w:cs="仿宋_GB2312"/>
                <w:sz w:val="28"/>
                <w:szCs w:val="28"/>
              </w:rPr>
            </w:pPr>
          </w:p>
          <w:p w14:paraId="3768B0CD">
            <w:pPr>
              <w:spacing w:line="248" w:lineRule="auto"/>
              <w:jc w:val="both"/>
              <w:rPr>
                <w:rFonts w:hint="eastAsia" w:ascii="仿宋_GB2312" w:hAnsi="仿宋_GB2312" w:eastAsia="仿宋_GB2312" w:cs="仿宋_GB2312"/>
                <w:sz w:val="28"/>
                <w:szCs w:val="28"/>
              </w:rPr>
            </w:pPr>
          </w:p>
          <w:p w14:paraId="250FCE82">
            <w:pPr>
              <w:spacing w:line="249" w:lineRule="auto"/>
              <w:jc w:val="both"/>
              <w:rPr>
                <w:rFonts w:hint="eastAsia" w:ascii="仿宋_GB2312" w:hAnsi="仿宋_GB2312" w:eastAsia="仿宋_GB2312" w:cs="仿宋_GB2312"/>
                <w:sz w:val="28"/>
                <w:szCs w:val="28"/>
              </w:rPr>
            </w:pPr>
          </w:p>
          <w:p w14:paraId="500DA54B">
            <w:pPr>
              <w:spacing w:line="249" w:lineRule="auto"/>
              <w:jc w:val="both"/>
              <w:rPr>
                <w:rFonts w:hint="eastAsia" w:ascii="仿宋_GB2312" w:hAnsi="仿宋_GB2312" w:eastAsia="仿宋_GB2312" w:cs="仿宋_GB2312"/>
                <w:sz w:val="28"/>
                <w:szCs w:val="28"/>
              </w:rPr>
            </w:pPr>
          </w:p>
          <w:p w14:paraId="061A1766">
            <w:pPr>
              <w:spacing w:line="249" w:lineRule="auto"/>
              <w:jc w:val="both"/>
              <w:rPr>
                <w:rFonts w:hint="eastAsia" w:ascii="仿宋_GB2312" w:hAnsi="仿宋_GB2312" w:eastAsia="仿宋_GB2312" w:cs="仿宋_GB2312"/>
                <w:sz w:val="28"/>
                <w:szCs w:val="28"/>
              </w:rPr>
            </w:pPr>
          </w:p>
          <w:p w14:paraId="2FA1F3BD">
            <w:pPr>
              <w:spacing w:line="249" w:lineRule="auto"/>
              <w:jc w:val="both"/>
              <w:rPr>
                <w:rFonts w:hint="eastAsia" w:ascii="仿宋_GB2312" w:hAnsi="仿宋_GB2312" w:eastAsia="仿宋_GB2312" w:cs="仿宋_GB2312"/>
                <w:sz w:val="28"/>
                <w:szCs w:val="28"/>
              </w:rPr>
            </w:pPr>
          </w:p>
          <w:p w14:paraId="22BF47F0">
            <w:pPr>
              <w:spacing w:line="249" w:lineRule="auto"/>
              <w:jc w:val="both"/>
              <w:rPr>
                <w:rFonts w:hint="eastAsia" w:ascii="仿宋_GB2312" w:hAnsi="仿宋_GB2312" w:eastAsia="仿宋_GB2312" w:cs="仿宋_GB2312"/>
                <w:sz w:val="28"/>
                <w:szCs w:val="28"/>
              </w:rPr>
            </w:pPr>
          </w:p>
          <w:p w14:paraId="39104622">
            <w:pPr>
              <w:spacing w:line="249" w:lineRule="auto"/>
              <w:jc w:val="both"/>
              <w:rPr>
                <w:rFonts w:hint="eastAsia" w:ascii="仿宋_GB2312" w:hAnsi="仿宋_GB2312" w:eastAsia="仿宋_GB2312" w:cs="仿宋_GB2312"/>
                <w:sz w:val="28"/>
                <w:szCs w:val="28"/>
              </w:rPr>
            </w:pPr>
          </w:p>
          <w:p w14:paraId="7B91CD2F">
            <w:pPr>
              <w:spacing w:line="249" w:lineRule="auto"/>
              <w:jc w:val="both"/>
              <w:rPr>
                <w:rFonts w:hint="eastAsia" w:ascii="仿宋_GB2312" w:hAnsi="仿宋_GB2312" w:eastAsia="仿宋_GB2312" w:cs="仿宋_GB2312"/>
                <w:sz w:val="28"/>
                <w:szCs w:val="28"/>
              </w:rPr>
            </w:pPr>
          </w:p>
          <w:p w14:paraId="2CBBD31E">
            <w:pPr>
              <w:spacing w:line="249" w:lineRule="auto"/>
              <w:jc w:val="both"/>
              <w:rPr>
                <w:rFonts w:hint="eastAsia" w:ascii="仿宋_GB2312" w:hAnsi="仿宋_GB2312" w:eastAsia="仿宋_GB2312" w:cs="仿宋_GB2312"/>
                <w:sz w:val="28"/>
                <w:szCs w:val="28"/>
              </w:rPr>
            </w:pPr>
          </w:p>
          <w:p w14:paraId="599BC136">
            <w:pPr>
              <w:spacing w:line="249" w:lineRule="auto"/>
              <w:jc w:val="both"/>
              <w:rPr>
                <w:rFonts w:hint="eastAsia" w:ascii="仿宋_GB2312" w:hAnsi="仿宋_GB2312" w:eastAsia="仿宋_GB2312" w:cs="仿宋_GB2312"/>
                <w:sz w:val="28"/>
                <w:szCs w:val="28"/>
              </w:rPr>
            </w:pPr>
          </w:p>
          <w:p w14:paraId="57CAAFA6">
            <w:pPr>
              <w:spacing w:line="249" w:lineRule="auto"/>
              <w:jc w:val="both"/>
              <w:rPr>
                <w:rFonts w:hint="eastAsia" w:ascii="仿宋_GB2312" w:hAnsi="仿宋_GB2312" w:eastAsia="仿宋_GB2312" w:cs="仿宋_GB2312"/>
                <w:sz w:val="28"/>
                <w:szCs w:val="28"/>
              </w:rPr>
            </w:pPr>
          </w:p>
          <w:p w14:paraId="635B7849">
            <w:pPr>
              <w:spacing w:line="249" w:lineRule="auto"/>
              <w:jc w:val="both"/>
              <w:rPr>
                <w:rFonts w:hint="eastAsia" w:ascii="仿宋_GB2312" w:hAnsi="仿宋_GB2312" w:eastAsia="仿宋_GB2312" w:cs="仿宋_GB2312"/>
                <w:sz w:val="28"/>
                <w:szCs w:val="28"/>
              </w:rPr>
            </w:pPr>
          </w:p>
          <w:p w14:paraId="185CD0FA">
            <w:pPr>
              <w:spacing w:line="249" w:lineRule="auto"/>
              <w:jc w:val="both"/>
              <w:rPr>
                <w:rFonts w:hint="eastAsia" w:ascii="仿宋_GB2312" w:hAnsi="仿宋_GB2312" w:eastAsia="仿宋_GB2312" w:cs="仿宋_GB2312"/>
                <w:sz w:val="28"/>
                <w:szCs w:val="28"/>
              </w:rPr>
            </w:pPr>
          </w:p>
          <w:p w14:paraId="704F86F5">
            <w:pPr>
              <w:pStyle w:val="8"/>
              <w:spacing w:before="101" w:line="219" w:lineRule="auto"/>
              <w:ind w:left="359"/>
              <w:jc w:val="both"/>
              <w:rPr>
                <w:rFonts w:hint="eastAsia" w:ascii="仿宋_GB2312" w:hAnsi="仿宋_GB2312" w:eastAsia="仿宋_GB2312" w:cs="仿宋_GB2312"/>
                <w:sz w:val="28"/>
                <w:szCs w:val="28"/>
              </w:rPr>
            </w:pPr>
          </w:p>
        </w:tc>
      </w:tr>
    </w:tbl>
    <w:tbl>
      <w:tblPr>
        <w:tblStyle w:val="7"/>
        <w:tblpPr w:leftFromText="180" w:rightFromText="180" w:vertAnchor="text" w:horzAnchor="page" w:tblpX="868" w:tblpY="132"/>
        <w:tblOverlap w:val="never"/>
        <w:tblW w:w="9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780"/>
        <w:gridCol w:w="3772"/>
        <w:gridCol w:w="1072"/>
      </w:tblGrid>
      <w:tr w14:paraId="1352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0" w:hRule="atLeast"/>
        </w:trPr>
        <w:tc>
          <w:tcPr>
            <w:tcW w:w="754" w:type="dxa"/>
            <w:tcBorders>
              <w:bottom w:val="single" w:color="auto" w:sz="4" w:space="0"/>
            </w:tcBorders>
            <w:vAlign w:val="top"/>
          </w:tcPr>
          <w:p w14:paraId="4312C7CC">
            <w:pPr>
              <w:pStyle w:val="8"/>
              <w:spacing w:before="159" w:line="221" w:lineRule="auto"/>
              <w:ind w:left="315"/>
              <w:jc w:val="both"/>
              <w:rPr>
                <w:rFonts w:hint="eastAsia" w:ascii="仿宋_GB2312" w:hAnsi="仿宋_GB2312" w:eastAsia="仿宋_GB2312" w:cs="仿宋_GB2312"/>
                <w:spacing w:val="0"/>
                <w:sz w:val="28"/>
                <w:szCs w:val="28"/>
              </w:rPr>
            </w:pPr>
          </w:p>
          <w:p w14:paraId="15CF0115">
            <w:pPr>
              <w:pStyle w:val="8"/>
              <w:spacing w:before="159" w:line="221" w:lineRule="auto"/>
              <w:jc w:val="both"/>
              <w:rPr>
                <w:rFonts w:hint="eastAsia" w:ascii="仿宋_GB2312" w:hAnsi="仿宋_GB2312" w:eastAsia="仿宋_GB2312" w:cs="仿宋_GB2312"/>
                <w:spacing w:val="0"/>
                <w:sz w:val="28"/>
                <w:szCs w:val="28"/>
                <w:lang w:val="en-US" w:eastAsia="en-US"/>
              </w:rPr>
            </w:pPr>
          </w:p>
          <w:p w14:paraId="2AB5B65E">
            <w:pPr>
              <w:pStyle w:val="8"/>
              <w:spacing w:before="159" w:line="221" w:lineRule="auto"/>
              <w:jc w:val="center"/>
              <w:rPr>
                <w:rFonts w:hint="eastAsia" w:ascii="仿宋_GB2312" w:hAnsi="仿宋_GB2312" w:eastAsia="仿宋_GB2312" w:cs="仿宋_GB2312"/>
                <w:spacing w:val="0"/>
                <w:sz w:val="28"/>
                <w:szCs w:val="28"/>
                <w:lang w:val="en-US" w:eastAsia="en-US"/>
              </w:rPr>
            </w:pPr>
            <w:r>
              <w:rPr>
                <w:rFonts w:hint="eastAsia" w:ascii="Times New Roman" w:hAnsi="Times New Roman" w:eastAsia="仿宋_GB2312" w:cs="仿宋_GB2312"/>
                <w:spacing w:val="0"/>
                <w:sz w:val="28"/>
                <w:szCs w:val="28"/>
                <w:lang w:val="en-US" w:eastAsia="en-US"/>
              </w:rPr>
              <w:t>2</w:t>
            </w:r>
          </w:p>
        </w:tc>
        <w:tc>
          <w:tcPr>
            <w:tcW w:w="3780" w:type="dxa"/>
            <w:tcBorders>
              <w:bottom w:val="single" w:color="auto" w:sz="4" w:space="0"/>
            </w:tcBorders>
            <w:vAlign w:val="top"/>
          </w:tcPr>
          <w:p w14:paraId="732917E6">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b/>
                <w:bCs/>
                <w:spacing w:val="0"/>
                <w:sz w:val="28"/>
                <w:szCs w:val="28"/>
                <w:lang w:val="en-US" w:eastAsia="en-US"/>
              </w:rPr>
            </w:pPr>
            <w:r>
              <w:rPr>
                <w:rFonts w:hint="default" w:ascii="仿宋_GB2312" w:hAnsi="仿宋_GB2312" w:eastAsia="仿宋_GB2312" w:cs="仿宋_GB2312"/>
                <w:b/>
                <w:bCs/>
                <w:spacing w:val="0"/>
                <w:sz w:val="28"/>
                <w:szCs w:val="28"/>
                <w:lang w:val="en" w:eastAsia="en-US"/>
              </w:rPr>
              <w:t xml:space="preserve">    </w:t>
            </w:r>
            <w:r>
              <w:rPr>
                <w:rFonts w:hint="eastAsia" w:ascii="仿宋_GB2312" w:hAnsi="仿宋_GB2312" w:eastAsia="仿宋_GB2312" w:cs="仿宋_GB2312"/>
                <w:b/>
                <w:bCs/>
                <w:spacing w:val="0"/>
                <w:sz w:val="28"/>
                <w:szCs w:val="28"/>
                <w:lang w:val="en-US" w:eastAsia="en-US"/>
              </w:rPr>
              <w:t>二、质保期</w:t>
            </w:r>
          </w:p>
          <w:p w14:paraId="5BD94BC8">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w:t>
            </w:r>
            <w:r>
              <w:rPr>
                <w:rFonts w:hint="eastAsia" w:ascii="仿宋_GB2312" w:hAnsi="仿宋_GB2312" w:eastAsia="仿宋_GB2312" w:cs="仿宋_GB2312"/>
                <w:spacing w:val="0"/>
                <w:sz w:val="28"/>
                <w:szCs w:val="28"/>
                <w:lang w:val="en-US" w:eastAsia="en-US"/>
              </w:rPr>
              <w:t>按国家有关产品“三包”规定执行“三包”，交货验收合格之日起所有货物、配件提供</w:t>
            </w:r>
            <w:r>
              <w:rPr>
                <w:rFonts w:hint="eastAsia" w:ascii="Times New Roman" w:hAnsi="Times New Roman" w:eastAsia="仿宋_GB2312" w:cs="仿宋_GB2312"/>
                <w:spacing w:val="0"/>
                <w:sz w:val="28"/>
                <w:szCs w:val="28"/>
                <w:lang w:val="en-US" w:eastAsia="en-US"/>
              </w:rPr>
              <w:t>1</w:t>
            </w:r>
            <w:r>
              <w:rPr>
                <w:rFonts w:hint="eastAsia" w:ascii="仿宋_GB2312" w:hAnsi="仿宋_GB2312" w:eastAsia="仿宋_GB2312" w:cs="仿宋_GB2312"/>
                <w:spacing w:val="0"/>
                <w:sz w:val="28"/>
                <w:szCs w:val="28"/>
                <w:lang w:val="en-US" w:eastAsia="en-US"/>
              </w:rPr>
              <w:t>年的上门包换服务。质保期内上门更换有质量问题的货物。相关费用应包含在投标总价中。</w:t>
            </w:r>
          </w:p>
        </w:tc>
        <w:tc>
          <w:tcPr>
            <w:tcW w:w="3772" w:type="dxa"/>
            <w:tcBorders>
              <w:bottom w:val="single" w:color="auto" w:sz="4" w:space="0"/>
            </w:tcBorders>
            <w:vAlign w:val="top"/>
          </w:tcPr>
          <w:p w14:paraId="79F0F613">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b/>
                <w:bCs/>
                <w:spacing w:val="0"/>
                <w:sz w:val="28"/>
                <w:szCs w:val="28"/>
                <w:lang w:val="en" w:eastAsia="en-US"/>
              </w:rPr>
              <w:t xml:space="preserve">    </w:t>
            </w:r>
          </w:p>
        </w:tc>
        <w:tc>
          <w:tcPr>
            <w:tcW w:w="1072" w:type="dxa"/>
            <w:tcBorders>
              <w:bottom w:val="single" w:color="auto" w:sz="4" w:space="0"/>
            </w:tcBorders>
            <w:vAlign w:val="top"/>
          </w:tcPr>
          <w:p w14:paraId="406A0136">
            <w:pPr>
              <w:pStyle w:val="8"/>
              <w:spacing w:before="159" w:line="221" w:lineRule="auto"/>
              <w:ind w:left="315"/>
              <w:jc w:val="both"/>
              <w:rPr>
                <w:rFonts w:hint="eastAsia" w:ascii="仿宋_GB2312" w:hAnsi="仿宋_GB2312" w:eastAsia="仿宋_GB2312" w:cs="仿宋_GB2312"/>
                <w:spacing w:val="0"/>
                <w:sz w:val="28"/>
                <w:szCs w:val="28"/>
              </w:rPr>
            </w:pPr>
          </w:p>
          <w:p w14:paraId="5CAC0F75">
            <w:pPr>
              <w:pStyle w:val="8"/>
              <w:spacing w:before="159" w:line="221" w:lineRule="auto"/>
              <w:ind w:left="315"/>
              <w:jc w:val="both"/>
              <w:rPr>
                <w:rFonts w:hint="eastAsia" w:ascii="仿宋_GB2312" w:hAnsi="仿宋_GB2312" w:eastAsia="仿宋_GB2312" w:cs="仿宋_GB2312"/>
                <w:spacing w:val="0"/>
                <w:sz w:val="28"/>
                <w:szCs w:val="28"/>
                <w:lang w:val="en-US" w:eastAsia="en-US"/>
              </w:rPr>
            </w:pPr>
          </w:p>
          <w:p w14:paraId="05EB8729">
            <w:pPr>
              <w:pStyle w:val="8"/>
              <w:spacing w:before="159" w:line="221" w:lineRule="auto"/>
              <w:ind w:left="315"/>
              <w:jc w:val="both"/>
              <w:rPr>
                <w:rFonts w:hint="eastAsia" w:ascii="仿宋_GB2312" w:hAnsi="仿宋_GB2312" w:eastAsia="仿宋_GB2312" w:cs="仿宋_GB2312"/>
                <w:spacing w:val="0"/>
                <w:sz w:val="28"/>
                <w:szCs w:val="28"/>
                <w:lang w:val="en-US" w:eastAsia="en-US"/>
              </w:rPr>
            </w:pPr>
          </w:p>
          <w:p w14:paraId="5F8C9E9F">
            <w:pPr>
              <w:pStyle w:val="8"/>
              <w:spacing w:before="159" w:line="221" w:lineRule="auto"/>
              <w:jc w:val="center"/>
              <w:rPr>
                <w:rFonts w:hint="eastAsia" w:ascii="仿宋_GB2312" w:hAnsi="仿宋_GB2312" w:eastAsia="仿宋_GB2312" w:cs="仿宋_GB2312"/>
                <w:spacing w:val="0"/>
                <w:sz w:val="28"/>
                <w:szCs w:val="28"/>
                <w:lang w:val="en-US" w:eastAsia="en-US"/>
              </w:rPr>
            </w:pPr>
          </w:p>
        </w:tc>
      </w:tr>
      <w:tr w14:paraId="580F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54" w:type="dxa"/>
            <w:tcBorders>
              <w:top w:val="single" w:color="auto" w:sz="4" w:space="0"/>
              <w:left w:val="single" w:color="auto" w:sz="4" w:space="0"/>
              <w:bottom w:val="single" w:color="auto" w:sz="4" w:space="0"/>
              <w:right w:val="single" w:color="auto" w:sz="4" w:space="0"/>
            </w:tcBorders>
            <w:vAlign w:val="top"/>
          </w:tcPr>
          <w:p w14:paraId="6C0104AD">
            <w:pPr>
              <w:pStyle w:val="8"/>
              <w:spacing w:before="159" w:line="221" w:lineRule="auto"/>
              <w:ind w:left="315"/>
              <w:jc w:val="both"/>
              <w:rPr>
                <w:rFonts w:hint="eastAsia" w:ascii="仿宋_GB2312" w:hAnsi="仿宋_GB2312" w:eastAsia="仿宋_GB2312" w:cs="仿宋_GB2312"/>
                <w:spacing w:val="0"/>
                <w:sz w:val="28"/>
                <w:szCs w:val="28"/>
              </w:rPr>
            </w:pPr>
          </w:p>
          <w:p w14:paraId="7198A8B5">
            <w:pPr>
              <w:pStyle w:val="8"/>
              <w:spacing w:before="159" w:line="221" w:lineRule="auto"/>
              <w:ind w:left="315"/>
              <w:jc w:val="both"/>
              <w:rPr>
                <w:rFonts w:hint="eastAsia" w:ascii="仿宋_GB2312" w:hAnsi="仿宋_GB2312" w:eastAsia="仿宋_GB2312" w:cs="仿宋_GB2312"/>
                <w:spacing w:val="0"/>
                <w:sz w:val="28"/>
                <w:szCs w:val="28"/>
              </w:rPr>
            </w:pPr>
          </w:p>
          <w:p w14:paraId="5C5EB763">
            <w:pPr>
              <w:pStyle w:val="8"/>
              <w:spacing w:before="159" w:line="221" w:lineRule="auto"/>
              <w:ind w:left="315"/>
              <w:jc w:val="both"/>
              <w:rPr>
                <w:rFonts w:hint="eastAsia" w:ascii="仿宋_GB2312" w:hAnsi="仿宋_GB2312" w:eastAsia="仿宋_GB2312" w:cs="仿宋_GB2312"/>
                <w:spacing w:val="0"/>
                <w:sz w:val="28"/>
                <w:szCs w:val="28"/>
              </w:rPr>
            </w:pPr>
          </w:p>
          <w:p w14:paraId="1DD1E892">
            <w:pPr>
              <w:pStyle w:val="8"/>
              <w:spacing w:before="159" w:line="221" w:lineRule="auto"/>
              <w:jc w:val="both"/>
              <w:rPr>
                <w:rFonts w:hint="eastAsia" w:ascii="仿宋_GB2312" w:hAnsi="仿宋_GB2312" w:eastAsia="仿宋_GB2312" w:cs="仿宋_GB2312"/>
                <w:spacing w:val="0"/>
                <w:sz w:val="28"/>
                <w:szCs w:val="28"/>
                <w:lang w:val="en-US" w:eastAsia="en-US"/>
              </w:rPr>
            </w:pPr>
          </w:p>
          <w:p w14:paraId="7960AA77">
            <w:pPr>
              <w:pStyle w:val="8"/>
              <w:spacing w:before="159" w:line="221" w:lineRule="auto"/>
              <w:jc w:val="center"/>
              <w:rPr>
                <w:rFonts w:hint="eastAsia" w:ascii="仿宋_GB2312" w:hAnsi="仿宋_GB2312" w:eastAsia="仿宋_GB2312" w:cs="仿宋_GB2312"/>
                <w:spacing w:val="0"/>
                <w:sz w:val="28"/>
                <w:szCs w:val="28"/>
                <w:lang w:val="en-US" w:eastAsia="en-US"/>
              </w:rPr>
            </w:pPr>
            <w:r>
              <w:rPr>
                <w:rFonts w:hint="eastAsia" w:ascii="Times New Roman" w:hAnsi="Times New Roman" w:eastAsia="仿宋_GB2312" w:cs="仿宋_GB2312"/>
                <w:spacing w:val="0"/>
                <w:sz w:val="28"/>
                <w:szCs w:val="28"/>
                <w:lang w:val="en-US" w:eastAsia="en-US"/>
              </w:rPr>
              <w:t>3</w:t>
            </w:r>
          </w:p>
        </w:tc>
        <w:tc>
          <w:tcPr>
            <w:tcW w:w="3780" w:type="dxa"/>
            <w:tcBorders>
              <w:top w:val="single" w:color="auto" w:sz="4" w:space="0"/>
              <w:left w:val="single" w:color="auto" w:sz="4" w:space="0"/>
              <w:bottom w:val="single" w:color="auto" w:sz="4" w:space="0"/>
              <w:right w:val="single" w:color="auto" w:sz="4" w:space="0"/>
            </w:tcBorders>
            <w:vAlign w:val="top"/>
          </w:tcPr>
          <w:p w14:paraId="1A2B779F">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b/>
                <w:bCs/>
                <w:spacing w:val="0"/>
                <w:sz w:val="28"/>
                <w:szCs w:val="28"/>
                <w:lang w:val="en-US" w:eastAsia="en-US"/>
              </w:rPr>
            </w:pPr>
            <w:r>
              <w:rPr>
                <w:rFonts w:hint="default" w:ascii="仿宋_GB2312" w:hAnsi="仿宋_GB2312" w:eastAsia="仿宋_GB2312" w:cs="仿宋_GB2312"/>
                <w:b/>
                <w:bCs/>
                <w:spacing w:val="0"/>
                <w:sz w:val="28"/>
                <w:szCs w:val="28"/>
                <w:lang w:val="en" w:eastAsia="en-US"/>
              </w:rPr>
              <w:t xml:space="preserve">    </w:t>
            </w:r>
            <w:r>
              <w:rPr>
                <w:rFonts w:hint="eastAsia" w:ascii="仿宋_GB2312" w:hAnsi="仿宋_GB2312" w:eastAsia="仿宋_GB2312" w:cs="仿宋_GB2312"/>
                <w:b/>
                <w:bCs/>
                <w:spacing w:val="0"/>
                <w:sz w:val="28"/>
                <w:szCs w:val="28"/>
                <w:lang w:val="en-US" w:eastAsia="en-US"/>
              </w:rPr>
              <w:t>三、售后服务要求</w:t>
            </w:r>
          </w:p>
          <w:p w14:paraId="7E5D6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40" w:lineRule="exact"/>
              <w:ind w:left="0" w:right="0" w:firstLine="0"/>
              <w:textAlignment w:val="baseline"/>
              <w:rPr>
                <w:rFonts w:hint="eastAsia" w:ascii="仿宋_GB2312" w:hAnsi="仿宋_GB2312" w:eastAsia="仿宋_GB2312" w:cs="仿宋_GB2312"/>
                <w:b w:val="0"/>
                <w:bCs w:val="0"/>
                <w:snapToGrid w:val="0"/>
                <w:color w:val="000000"/>
                <w:spacing w:val="0"/>
                <w:kern w:val="0"/>
                <w:sz w:val="28"/>
                <w:szCs w:val="28"/>
                <w:lang w:val="en-US" w:eastAsia="en-US" w:bidi="ar-SA"/>
              </w:rPr>
            </w:pPr>
            <w:r>
              <w:rPr>
                <w:rFonts w:hint="default" w:ascii="仿宋_GB2312" w:hAnsi="仿宋_GB2312" w:eastAsia="仿宋_GB2312" w:cs="仿宋_GB2312"/>
                <w:spacing w:val="0"/>
                <w:sz w:val="28"/>
                <w:szCs w:val="28"/>
                <w:lang w:val="en" w:eastAsia="en-US"/>
              </w:rPr>
              <w:t xml:space="preserve">    </w:t>
            </w:r>
            <w:r>
              <w:rPr>
                <w:rFonts w:hint="eastAsia" w:ascii="微软雅黑" w:hAnsi="微软雅黑" w:eastAsia="微软雅黑" w:cs="微软雅黑"/>
                <w:i w:val="0"/>
                <w:iCs w:val="0"/>
                <w:caps w:val="0"/>
                <w:color w:val="333333"/>
                <w:spacing w:val="0"/>
                <w:sz w:val="45"/>
                <w:szCs w:val="45"/>
                <w:shd w:val="clear" w:fill="FFFFFF"/>
              </w:rPr>
              <w:t>▲</w:t>
            </w:r>
            <w:r>
              <w:rPr>
                <w:rFonts w:hint="eastAsia" w:ascii="仿宋" w:hAnsi="仿宋" w:eastAsia="仿宋" w:cs="仿宋"/>
                <w:b w:val="0"/>
                <w:bCs w:val="0"/>
                <w:i w:val="0"/>
                <w:iCs w:val="0"/>
                <w:caps w:val="0"/>
                <w:color w:val="333333"/>
                <w:spacing w:val="0"/>
                <w:sz w:val="28"/>
                <w:szCs w:val="28"/>
                <w:shd w:val="clear" w:fill="FFFFFF"/>
                <w:lang w:eastAsia="zh-CN"/>
              </w:rPr>
              <w:t>（</w:t>
            </w:r>
            <w:r>
              <w:rPr>
                <w:rFonts w:hint="eastAsia" w:ascii="仿宋" w:hAnsi="仿宋" w:eastAsia="仿宋" w:cs="仿宋"/>
                <w:b w:val="0"/>
                <w:bCs w:val="0"/>
                <w:i w:val="0"/>
                <w:iCs w:val="0"/>
                <w:caps w:val="0"/>
                <w:color w:val="333333"/>
                <w:spacing w:val="0"/>
                <w:sz w:val="28"/>
                <w:szCs w:val="28"/>
                <w:shd w:val="clear" w:fill="FFFFFF"/>
                <w:lang w:val="en-US" w:eastAsia="zh-CN"/>
              </w:rPr>
              <w:t>一</w:t>
            </w:r>
            <w:r>
              <w:rPr>
                <w:rFonts w:hint="eastAsia" w:ascii="仿宋" w:hAnsi="仿宋" w:eastAsia="仿宋" w:cs="仿宋"/>
                <w:b w:val="0"/>
                <w:bCs w:val="0"/>
                <w:i w:val="0"/>
                <w:iCs w:val="0"/>
                <w:caps w:val="0"/>
                <w:color w:val="333333"/>
                <w:spacing w:val="0"/>
                <w:sz w:val="28"/>
                <w:szCs w:val="28"/>
                <w:shd w:val="clear" w:fill="FFFFFF"/>
                <w:lang w:eastAsia="zh-CN"/>
              </w:rPr>
              <w:t>）</w:t>
            </w:r>
            <w:r>
              <w:rPr>
                <w:rFonts w:hint="eastAsia" w:ascii="仿宋_GB2312" w:hAnsi="仿宋_GB2312" w:eastAsia="仿宋_GB2312" w:cs="仿宋_GB2312"/>
                <w:b w:val="0"/>
                <w:bCs w:val="0"/>
                <w:snapToGrid w:val="0"/>
                <w:color w:val="000000"/>
                <w:spacing w:val="0"/>
                <w:kern w:val="0"/>
                <w:sz w:val="28"/>
                <w:szCs w:val="28"/>
                <w:lang w:val="en-US" w:eastAsia="en-US" w:bidi="ar-SA"/>
              </w:rPr>
              <w:t>货品质量不合格者能及时到现场返工响应整改。对由于质量问题出现的退、换货，需要在采购人提出需求后30分钟内响应对接2小时内到达现场修理解决，并在5小时内处理完毕，情况特殊的处置时间不能超过1天；</w:t>
            </w:r>
          </w:p>
          <w:p w14:paraId="218E19DC">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w:t>
            </w:r>
            <w:r>
              <w:rPr>
                <w:rFonts w:hint="default" w:ascii="Times New Roman" w:hAnsi="Times New Roman" w:eastAsia="仿宋_GB2312" w:cs="仿宋_GB2312"/>
                <w:spacing w:val="0"/>
                <w:sz w:val="28"/>
                <w:szCs w:val="28"/>
                <w:lang w:val="en" w:eastAsia="en-US"/>
              </w:rPr>
              <w:t>（二）</w:t>
            </w:r>
            <w:r>
              <w:rPr>
                <w:rFonts w:hint="eastAsia" w:ascii="仿宋_GB2312" w:hAnsi="仿宋_GB2312" w:eastAsia="仿宋_GB2312" w:cs="仿宋_GB2312"/>
                <w:spacing w:val="0"/>
                <w:sz w:val="28"/>
                <w:szCs w:val="28"/>
                <w:lang w:val="en-US" w:eastAsia="en-US"/>
              </w:rPr>
              <w:t>如果出现原则性、政治性、导向性错误的，必须向甲方支付当批次货物总价的</w:t>
            </w:r>
            <w:r>
              <w:rPr>
                <w:rFonts w:hint="eastAsia" w:ascii="Times New Roman" w:hAnsi="Times New Roman" w:eastAsia="仿宋_GB2312" w:cs="仿宋_GB2312"/>
                <w:spacing w:val="0"/>
                <w:sz w:val="28"/>
                <w:szCs w:val="28"/>
                <w:lang w:val="en-US" w:eastAsia="en-US"/>
              </w:rPr>
              <w:t>20</w:t>
            </w:r>
            <w:r>
              <w:rPr>
                <w:rFonts w:hint="eastAsia" w:ascii="仿宋_GB2312" w:hAnsi="仿宋_GB2312" w:eastAsia="仿宋_GB2312" w:cs="仿宋_GB2312"/>
                <w:spacing w:val="0"/>
                <w:sz w:val="28"/>
                <w:szCs w:val="28"/>
                <w:lang w:val="en-US" w:eastAsia="en-US"/>
              </w:rPr>
              <w:t>%作为违约金。</w:t>
            </w:r>
          </w:p>
        </w:tc>
        <w:tc>
          <w:tcPr>
            <w:tcW w:w="3772" w:type="dxa"/>
            <w:tcBorders>
              <w:top w:val="single" w:color="auto" w:sz="4" w:space="0"/>
              <w:left w:val="single" w:color="auto" w:sz="4" w:space="0"/>
              <w:bottom w:val="single" w:color="auto" w:sz="4" w:space="0"/>
              <w:right w:val="single" w:color="auto" w:sz="4" w:space="0"/>
            </w:tcBorders>
            <w:vAlign w:val="top"/>
          </w:tcPr>
          <w:p w14:paraId="4A4DD961">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b/>
                <w:bCs/>
                <w:spacing w:val="0"/>
                <w:sz w:val="28"/>
                <w:szCs w:val="28"/>
                <w:lang w:val="en" w:eastAsia="en-US"/>
              </w:rPr>
              <w:t xml:space="preserve">  </w:t>
            </w:r>
          </w:p>
        </w:tc>
        <w:tc>
          <w:tcPr>
            <w:tcW w:w="1072" w:type="dxa"/>
            <w:tcBorders>
              <w:top w:val="single" w:color="auto" w:sz="4" w:space="0"/>
              <w:left w:val="single" w:color="auto" w:sz="4" w:space="0"/>
              <w:bottom w:val="single" w:color="auto" w:sz="4" w:space="0"/>
              <w:right w:val="single" w:color="auto" w:sz="4" w:space="0"/>
            </w:tcBorders>
            <w:vAlign w:val="top"/>
          </w:tcPr>
          <w:p w14:paraId="2B8AAF65">
            <w:pPr>
              <w:pStyle w:val="8"/>
              <w:spacing w:before="159" w:line="221" w:lineRule="auto"/>
              <w:ind w:left="315"/>
              <w:jc w:val="both"/>
              <w:rPr>
                <w:rFonts w:hint="eastAsia" w:ascii="仿宋_GB2312" w:hAnsi="仿宋_GB2312" w:eastAsia="仿宋_GB2312" w:cs="仿宋_GB2312"/>
                <w:spacing w:val="0"/>
                <w:sz w:val="28"/>
                <w:szCs w:val="28"/>
              </w:rPr>
            </w:pPr>
          </w:p>
        </w:tc>
      </w:tr>
      <w:tr w14:paraId="3D71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trPr>
        <w:tc>
          <w:tcPr>
            <w:tcW w:w="754" w:type="dxa"/>
            <w:tcBorders>
              <w:top w:val="single" w:color="auto" w:sz="4" w:space="0"/>
              <w:left w:val="single" w:color="auto" w:sz="4" w:space="0"/>
              <w:bottom w:val="single" w:color="auto" w:sz="4" w:space="0"/>
              <w:right w:val="single" w:color="auto" w:sz="4" w:space="0"/>
            </w:tcBorders>
            <w:vAlign w:val="top"/>
          </w:tcPr>
          <w:p w14:paraId="0FF5F141">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en-US"/>
              </w:rPr>
            </w:pPr>
          </w:p>
          <w:p w14:paraId="5D900CA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en-US"/>
              </w:rPr>
            </w:pPr>
            <w:r>
              <w:rPr>
                <w:rFonts w:hint="eastAsia" w:ascii="Times New Roman" w:hAnsi="Times New Roman" w:eastAsia="仿宋_GB2312" w:cs="仿宋_GB2312"/>
                <w:spacing w:val="0"/>
                <w:sz w:val="28"/>
                <w:szCs w:val="28"/>
                <w:lang w:val="en-US" w:eastAsia="en-US"/>
              </w:rPr>
              <w:t>4</w:t>
            </w:r>
          </w:p>
        </w:tc>
        <w:tc>
          <w:tcPr>
            <w:tcW w:w="3780" w:type="dxa"/>
            <w:tcBorders>
              <w:top w:val="single" w:color="auto" w:sz="4" w:space="0"/>
              <w:left w:val="single" w:color="auto" w:sz="4" w:space="0"/>
              <w:bottom w:val="single" w:color="auto" w:sz="4" w:space="0"/>
              <w:right w:val="single" w:color="auto" w:sz="4" w:space="0"/>
            </w:tcBorders>
            <w:vAlign w:val="top"/>
          </w:tcPr>
          <w:p w14:paraId="414E894A">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ind w:firstLine="562" w:firstLineChars="200"/>
              <w:jc w:val="both"/>
              <w:textAlignment w:val="baseline"/>
              <w:rPr>
                <w:rFonts w:hint="eastAsia" w:ascii="仿宋_GB2312" w:hAnsi="仿宋_GB2312" w:eastAsia="仿宋_GB2312" w:cs="仿宋_GB2312"/>
                <w:b/>
                <w:bCs/>
                <w:spacing w:val="0"/>
                <w:sz w:val="28"/>
                <w:szCs w:val="28"/>
                <w:lang w:val="en-US" w:eastAsia="en-US"/>
              </w:rPr>
            </w:pPr>
            <w:r>
              <w:rPr>
                <w:rFonts w:hint="eastAsia" w:ascii="仿宋_GB2312" w:hAnsi="仿宋_GB2312" w:eastAsia="仿宋_GB2312" w:cs="仿宋_GB2312"/>
                <w:b/>
                <w:bCs/>
                <w:spacing w:val="0"/>
                <w:sz w:val="28"/>
                <w:szCs w:val="28"/>
                <w:lang w:val="en-US" w:eastAsia="en-US"/>
              </w:rPr>
              <w:t>四、服务时间及地点</w:t>
            </w:r>
          </w:p>
          <w:p w14:paraId="15405054">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（一）</w:t>
            </w:r>
            <w:r>
              <w:rPr>
                <w:rFonts w:hint="eastAsia" w:ascii="仿宋_GB2312" w:hAnsi="仿宋_GB2312" w:eastAsia="仿宋_GB2312" w:cs="仿宋_GB2312"/>
                <w:spacing w:val="0"/>
                <w:sz w:val="28"/>
                <w:szCs w:val="28"/>
                <w:lang w:val="en-US" w:eastAsia="en-US"/>
              </w:rPr>
              <w:t>服务时间</w:t>
            </w:r>
            <w:r>
              <w:rPr>
                <w:rFonts w:hint="default" w:ascii="仿宋_GB2312" w:hAnsi="仿宋_GB2312" w:eastAsia="仿宋_GB2312" w:cs="仿宋_GB2312"/>
                <w:spacing w:val="0"/>
                <w:sz w:val="28"/>
                <w:szCs w:val="28"/>
                <w:lang w:val="en" w:eastAsia="en-US"/>
              </w:rPr>
              <w:t>:</w:t>
            </w:r>
            <w:r>
              <w:rPr>
                <w:rFonts w:hint="eastAsia" w:ascii="仿宋_GB2312" w:hAnsi="仿宋_GB2312" w:eastAsia="仿宋_GB2312" w:cs="仿宋_GB2312"/>
                <w:spacing w:val="0"/>
                <w:sz w:val="28"/>
                <w:szCs w:val="28"/>
                <w:lang w:val="en-US" w:eastAsia="en-US"/>
              </w:rPr>
              <w:t>自签订合同之日起</w:t>
            </w:r>
            <w:r>
              <w:rPr>
                <w:rFonts w:hint="default" w:ascii="Times New Roman" w:hAnsi="Times New Roman" w:eastAsia="仿宋_GB2312" w:cs="仿宋_GB2312"/>
                <w:spacing w:val="0"/>
                <w:sz w:val="28"/>
                <w:szCs w:val="28"/>
                <w:lang w:val="en-US" w:eastAsia="en-US"/>
              </w:rPr>
              <w:t>1</w:t>
            </w:r>
            <w:r>
              <w:rPr>
                <w:rFonts w:hint="eastAsia" w:ascii="仿宋_GB2312" w:hAnsi="仿宋_GB2312" w:eastAsia="仿宋_GB2312" w:cs="仿宋_GB2312"/>
                <w:spacing w:val="0"/>
                <w:sz w:val="28"/>
                <w:szCs w:val="28"/>
                <w:lang w:val="en-US" w:eastAsia="en-US"/>
              </w:rPr>
              <w:t>年；</w:t>
            </w:r>
          </w:p>
          <w:p w14:paraId="5B12FAA9">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（二）</w:t>
            </w:r>
            <w:r>
              <w:rPr>
                <w:rFonts w:hint="eastAsia" w:ascii="仿宋_GB2312" w:hAnsi="仿宋_GB2312" w:eastAsia="仿宋_GB2312" w:cs="仿宋_GB2312"/>
                <w:spacing w:val="0"/>
                <w:sz w:val="28"/>
                <w:szCs w:val="28"/>
                <w:lang w:val="en-US" w:eastAsia="en-US"/>
              </w:rPr>
              <w:t>交货地点</w:t>
            </w:r>
            <w:r>
              <w:rPr>
                <w:rFonts w:hint="default" w:ascii="仿宋_GB2312" w:hAnsi="仿宋_GB2312" w:eastAsia="仿宋_GB2312" w:cs="仿宋_GB2312"/>
                <w:spacing w:val="0"/>
                <w:sz w:val="28"/>
                <w:szCs w:val="28"/>
                <w:lang w:val="en" w:eastAsia="en-US"/>
              </w:rPr>
              <w:t>:</w:t>
            </w:r>
            <w:r>
              <w:rPr>
                <w:rFonts w:hint="eastAsia" w:ascii="仿宋_GB2312" w:hAnsi="仿宋_GB2312" w:eastAsia="仿宋_GB2312" w:cs="仿宋_GB2312"/>
                <w:spacing w:val="0"/>
                <w:sz w:val="28"/>
                <w:szCs w:val="28"/>
                <w:lang w:val="en-US" w:eastAsia="en-US"/>
              </w:rPr>
              <w:t>南宁市内采购方指定地点。</w:t>
            </w:r>
          </w:p>
        </w:tc>
        <w:tc>
          <w:tcPr>
            <w:tcW w:w="3772" w:type="dxa"/>
            <w:tcBorders>
              <w:top w:val="single" w:color="auto" w:sz="4" w:space="0"/>
              <w:left w:val="single" w:color="auto" w:sz="4" w:space="0"/>
              <w:bottom w:val="single" w:color="auto" w:sz="4" w:space="0"/>
              <w:right w:val="single" w:color="auto" w:sz="4" w:space="0"/>
            </w:tcBorders>
            <w:vAlign w:val="top"/>
          </w:tcPr>
          <w:p w14:paraId="3A772B3E">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p>
        </w:tc>
        <w:tc>
          <w:tcPr>
            <w:tcW w:w="1072" w:type="dxa"/>
            <w:tcBorders>
              <w:top w:val="single" w:color="auto" w:sz="4" w:space="0"/>
              <w:left w:val="single" w:color="auto" w:sz="4" w:space="0"/>
              <w:bottom w:val="single" w:color="auto" w:sz="4" w:space="0"/>
              <w:right w:val="single" w:color="auto" w:sz="4" w:space="0"/>
            </w:tcBorders>
            <w:vAlign w:val="top"/>
          </w:tcPr>
          <w:p w14:paraId="069F4F4F">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en-US"/>
              </w:rPr>
            </w:pPr>
          </w:p>
          <w:p w14:paraId="0930B646">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en-US"/>
              </w:rPr>
            </w:pPr>
          </w:p>
        </w:tc>
      </w:tr>
      <w:tr w14:paraId="6887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0" w:hRule="atLeast"/>
        </w:trPr>
        <w:tc>
          <w:tcPr>
            <w:tcW w:w="754" w:type="dxa"/>
            <w:tcBorders>
              <w:top w:val="single" w:color="auto" w:sz="4" w:space="0"/>
              <w:left w:val="single" w:color="auto" w:sz="4" w:space="0"/>
              <w:bottom w:val="single" w:color="auto" w:sz="4" w:space="0"/>
              <w:right w:val="single" w:color="auto" w:sz="4" w:space="0"/>
            </w:tcBorders>
            <w:vAlign w:val="top"/>
          </w:tcPr>
          <w:p w14:paraId="7A7F26B6">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1ADC61CD">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36CF3A2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52B17A7D">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63A66E9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49CEDE87">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6E597CBA">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46BC27C9">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_GB2312" w:hAnsi="仿宋_GB2312" w:eastAsia="仿宋_GB2312" w:cs="仿宋_GB2312"/>
                <w:spacing w:val="0"/>
                <w:sz w:val="28"/>
                <w:szCs w:val="28"/>
                <w:lang w:val="en-US" w:eastAsia="zh-CN"/>
              </w:rPr>
            </w:pPr>
          </w:p>
          <w:p w14:paraId="4C6E662E">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zh-CN"/>
              </w:rPr>
            </w:pPr>
            <w:r>
              <w:rPr>
                <w:rFonts w:hint="eastAsia" w:ascii="Times New Roman" w:hAnsi="Times New Roman" w:eastAsia="仿宋_GB2312" w:cs="仿宋_GB2312"/>
                <w:spacing w:val="0"/>
                <w:sz w:val="28"/>
                <w:szCs w:val="28"/>
                <w:lang w:val="en-US" w:eastAsia="zh-CN"/>
              </w:rPr>
              <w:t>5</w:t>
            </w:r>
          </w:p>
        </w:tc>
        <w:tc>
          <w:tcPr>
            <w:tcW w:w="3780" w:type="dxa"/>
            <w:tcBorders>
              <w:top w:val="single" w:color="auto" w:sz="4" w:space="0"/>
              <w:left w:val="single" w:color="auto" w:sz="4" w:space="0"/>
              <w:bottom w:val="single" w:color="auto" w:sz="4" w:space="0"/>
              <w:right w:val="single" w:color="auto" w:sz="4" w:space="0"/>
            </w:tcBorders>
            <w:vAlign w:val="top"/>
          </w:tcPr>
          <w:p w14:paraId="3F9E9C5C">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b/>
                <w:bCs/>
                <w:spacing w:val="0"/>
                <w:sz w:val="28"/>
                <w:szCs w:val="28"/>
                <w:lang w:val="en-US" w:eastAsia="en-US"/>
              </w:rPr>
            </w:pPr>
            <w:r>
              <w:rPr>
                <w:rFonts w:hint="eastAsia" w:ascii="微软雅黑" w:hAnsi="微软雅黑" w:eastAsia="微软雅黑" w:cs="微软雅黑"/>
                <w:i w:val="0"/>
                <w:iCs w:val="0"/>
                <w:caps w:val="0"/>
                <w:color w:val="333333"/>
                <w:spacing w:val="0"/>
                <w:sz w:val="45"/>
                <w:szCs w:val="45"/>
                <w:shd w:val="clear" w:fill="FFFFFF"/>
              </w:rPr>
              <w:t>▲</w:t>
            </w:r>
            <w:r>
              <w:rPr>
                <w:rFonts w:hint="eastAsia" w:ascii="仿宋_GB2312" w:hAnsi="仿宋_GB2312" w:eastAsia="仿宋_GB2312" w:cs="仿宋_GB2312"/>
                <w:b/>
                <w:bCs/>
                <w:spacing w:val="0"/>
                <w:sz w:val="28"/>
                <w:szCs w:val="28"/>
                <w:lang w:val="en-US" w:eastAsia="en-US"/>
              </w:rPr>
              <w:t>五、采购标的验收标准</w:t>
            </w:r>
          </w:p>
          <w:p w14:paraId="54A8D12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firstLine="560" w:firstLineChars="200"/>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（一）</w:t>
            </w:r>
            <w:r>
              <w:rPr>
                <w:rFonts w:hint="eastAsia" w:ascii="仿宋_GB2312" w:hAnsi="仿宋_GB2312" w:eastAsia="仿宋_GB2312" w:cs="仿宋_GB2312"/>
                <w:spacing w:val="0"/>
                <w:sz w:val="28"/>
                <w:szCs w:val="28"/>
                <w:lang w:val="en-US" w:eastAsia="en-US"/>
              </w:rPr>
              <w:t>安装时间应在合同规定的常规时间内完成。（自接到采购人通知之日起</w:t>
            </w:r>
            <w:r>
              <w:rPr>
                <w:rFonts w:hint="eastAsia" w:ascii="Times New Roman" w:hAnsi="Times New Roman" w:eastAsia="仿宋_GB2312" w:cs="仿宋_GB2312"/>
                <w:spacing w:val="0"/>
                <w:sz w:val="28"/>
                <w:szCs w:val="28"/>
                <w:lang w:val="en-US" w:eastAsia="en-US"/>
              </w:rPr>
              <w:t>3</w:t>
            </w:r>
            <w:r>
              <w:rPr>
                <w:rFonts w:hint="eastAsia" w:ascii="仿宋_GB2312" w:hAnsi="仿宋_GB2312" w:eastAsia="仿宋_GB2312" w:cs="仿宋_GB2312"/>
                <w:spacing w:val="0"/>
                <w:sz w:val="28"/>
                <w:szCs w:val="28"/>
                <w:lang w:val="en-US" w:eastAsia="en-US"/>
              </w:rPr>
              <w:t>个日历日内全部完成包括设计、制作、安装等工作）；</w:t>
            </w:r>
          </w:p>
          <w:p w14:paraId="31A73541">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（二）</w:t>
            </w:r>
            <w:r>
              <w:rPr>
                <w:rFonts w:hint="eastAsia" w:ascii="仿宋_GB2312" w:hAnsi="仿宋_GB2312" w:eastAsia="仿宋_GB2312" w:cs="仿宋_GB2312"/>
                <w:spacing w:val="0"/>
                <w:sz w:val="28"/>
                <w:szCs w:val="28"/>
                <w:lang w:val="en-US" w:eastAsia="en-US"/>
              </w:rPr>
              <w:t>标识内容、尺寸、规格、材料、工艺、数量、颜色与采购人要求（符合设计方案定稿）一致；</w:t>
            </w:r>
          </w:p>
          <w:p w14:paraId="272CB767">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 xml:space="preserve">    （三）</w:t>
            </w:r>
            <w:r>
              <w:rPr>
                <w:rFonts w:hint="eastAsia" w:ascii="仿宋_GB2312" w:hAnsi="仿宋_GB2312" w:eastAsia="仿宋_GB2312" w:cs="仿宋_GB2312"/>
                <w:spacing w:val="0"/>
                <w:sz w:val="28"/>
                <w:szCs w:val="28"/>
                <w:lang w:val="en-US" w:eastAsia="en-US"/>
              </w:rPr>
              <w:t>标识画面图文精细方正、色彩逼真、剪裁整齐，无破损、无褶皱、无波浪、无污渍、无收缩开裂，不露底白、不褪色等质量问题；</w:t>
            </w:r>
          </w:p>
          <w:p w14:paraId="74AADBC1">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firstLine="560"/>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spacing w:val="0"/>
                <w:sz w:val="28"/>
                <w:szCs w:val="28"/>
                <w:lang w:val="en" w:eastAsia="en-US"/>
              </w:rPr>
              <w:t>（四）</w:t>
            </w:r>
            <w:r>
              <w:rPr>
                <w:rFonts w:hint="eastAsia" w:ascii="仿宋_GB2312" w:hAnsi="仿宋_GB2312" w:eastAsia="仿宋_GB2312" w:cs="仿宋_GB2312"/>
                <w:spacing w:val="0"/>
                <w:sz w:val="28"/>
                <w:szCs w:val="28"/>
                <w:lang w:val="en-US" w:eastAsia="en-US"/>
              </w:rPr>
              <w:t>宣传标识产品的材料工艺、设计、制作、安装全程符合技术要求，安装、清撤施工作业不得影响现有标识、设施；</w:t>
            </w:r>
          </w:p>
          <w:p w14:paraId="2512A087">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firstLine="560"/>
              <w:jc w:val="both"/>
              <w:textAlignment w:val="baseline"/>
              <w:rPr>
                <w:rFonts w:hint="eastAsia" w:ascii="仿宋_GB2312" w:hAnsi="仿宋_GB2312" w:eastAsia="仿宋_GB2312" w:cs="仿宋_GB2312"/>
                <w:spacing w:val="0"/>
                <w:sz w:val="28"/>
                <w:szCs w:val="28"/>
                <w:lang w:val="en-US" w:eastAsia="en-US"/>
              </w:rPr>
            </w:pPr>
            <w:r>
              <w:rPr>
                <w:rFonts w:hint="default" w:ascii="Times New Roman" w:hAnsi="Times New Roman" w:eastAsia="仿宋_GB2312" w:cs="仿宋_GB2312"/>
                <w:spacing w:val="0"/>
                <w:sz w:val="28"/>
                <w:szCs w:val="28"/>
                <w:lang w:val="en" w:eastAsia="en-US"/>
              </w:rPr>
              <w:t>（五）</w:t>
            </w:r>
            <w:r>
              <w:rPr>
                <w:rFonts w:hint="eastAsia" w:ascii="仿宋_GB2312" w:hAnsi="仿宋_GB2312" w:eastAsia="仿宋_GB2312" w:cs="仿宋_GB2312"/>
                <w:spacing w:val="0"/>
                <w:sz w:val="28"/>
                <w:szCs w:val="28"/>
                <w:lang w:val="en-US" w:eastAsia="en-US"/>
              </w:rPr>
              <w:t>中标人在每次安装交付完成时，及时对所安装交付的标识现场拍照并发给采购人知悉确认；</w:t>
            </w:r>
          </w:p>
          <w:p w14:paraId="66F3C3CA">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firstLine="280" w:firstLineChars="100"/>
              <w:jc w:val="both"/>
              <w:textAlignment w:val="baseline"/>
              <w:rPr>
                <w:rFonts w:hint="eastAsia" w:ascii="Times New Roman" w:hAnsi="Times New Roman" w:eastAsia="仿宋_GB2312" w:cs="仿宋_GB2312"/>
                <w:spacing w:val="0"/>
                <w:sz w:val="28"/>
                <w:szCs w:val="28"/>
                <w:lang w:val="en-US" w:eastAsia="zh-CN"/>
              </w:rPr>
            </w:pPr>
            <w:r>
              <w:rPr>
                <w:rFonts w:hint="default" w:ascii="Times New Roman" w:hAnsi="Times New Roman" w:eastAsia="仿宋_GB2312" w:cs="仿宋_GB2312"/>
                <w:spacing w:val="0"/>
                <w:sz w:val="28"/>
                <w:szCs w:val="28"/>
                <w:lang w:val="en" w:eastAsia="en-US"/>
              </w:rPr>
              <w:t>（六）</w:t>
            </w:r>
            <w:r>
              <w:rPr>
                <w:rFonts w:hint="eastAsia" w:ascii="仿宋_GB2312" w:hAnsi="仿宋_GB2312" w:eastAsia="仿宋_GB2312" w:cs="仿宋_GB2312"/>
                <w:spacing w:val="0"/>
                <w:sz w:val="28"/>
                <w:szCs w:val="28"/>
                <w:lang w:val="en-US" w:eastAsia="en-US"/>
              </w:rPr>
              <w:t>验收结算材料须包括：验收单、结算单；</w:t>
            </w:r>
          </w:p>
          <w:p w14:paraId="5E56D650">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ind w:firstLine="280" w:firstLineChars="100"/>
              <w:jc w:val="both"/>
              <w:textAlignment w:val="baseline"/>
              <w:rPr>
                <w:rFonts w:hint="eastAsia" w:ascii="仿宋_GB2312" w:hAnsi="仿宋_GB2312" w:eastAsia="仿宋_GB2312" w:cs="仿宋_GB2312"/>
                <w:spacing w:val="0"/>
                <w:sz w:val="28"/>
                <w:szCs w:val="28"/>
                <w:lang w:val="en-US" w:eastAsia="zh-CN"/>
              </w:rPr>
            </w:pPr>
            <w:r>
              <w:rPr>
                <w:rFonts w:hint="default" w:ascii="Times New Roman" w:hAnsi="Times New Roman" w:eastAsia="仿宋_GB2312" w:cs="仿宋_GB2312"/>
                <w:spacing w:val="0"/>
                <w:sz w:val="28"/>
                <w:szCs w:val="28"/>
                <w:lang w:val="en" w:eastAsia="zh-CN"/>
              </w:rPr>
              <w:t>（七）</w:t>
            </w:r>
            <w:r>
              <w:rPr>
                <w:rFonts w:hint="eastAsia" w:ascii="仿宋_GB2312" w:hAnsi="仿宋_GB2312" w:eastAsia="仿宋_GB2312" w:cs="仿宋_GB2312"/>
                <w:spacing w:val="0"/>
                <w:sz w:val="28"/>
                <w:szCs w:val="28"/>
                <w:lang w:val="en-US" w:eastAsia="zh-CN"/>
              </w:rPr>
              <w:t>安装完毕及时清理垃圾。</w:t>
            </w:r>
          </w:p>
        </w:tc>
        <w:tc>
          <w:tcPr>
            <w:tcW w:w="3772" w:type="dxa"/>
            <w:tcBorders>
              <w:top w:val="single" w:color="auto" w:sz="4" w:space="0"/>
              <w:left w:val="single" w:color="auto" w:sz="4" w:space="0"/>
              <w:bottom w:val="single" w:color="auto" w:sz="4" w:space="0"/>
              <w:right w:val="single" w:color="auto" w:sz="4" w:space="0"/>
            </w:tcBorders>
            <w:vAlign w:val="top"/>
          </w:tcPr>
          <w:p w14:paraId="6F8CD5A6">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ind w:firstLine="280" w:firstLineChars="100"/>
              <w:jc w:val="both"/>
              <w:textAlignment w:val="baseline"/>
              <w:rPr>
                <w:rFonts w:hint="eastAsia" w:ascii="仿宋_GB2312" w:hAnsi="仿宋_GB2312" w:eastAsia="仿宋_GB2312" w:cs="仿宋_GB2312"/>
                <w:spacing w:val="0"/>
                <w:sz w:val="28"/>
                <w:szCs w:val="28"/>
                <w:lang w:val="en-US" w:eastAsia="zh-CN"/>
              </w:rPr>
            </w:pPr>
          </w:p>
        </w:tc>
        <w:tc>
          <w:tcPr>
            <w:tcW w:w="1072" w:type="dxa"/>
            <w:tcBorders>
              <w:top w:val="single" w:color="auto" w:sz="4" w:space="0"/>
              <w:left w:val="single" w:color="auto" w:sz="4" w:space="0"/>
              <w:bottom w:val="single" w:color="auto" w:sz="4" w:space="0"/>
              <w:right w:val="single" w:color="auto" w:sz="4" w:space="0"/>
            </w:tcBorders>
            <w:vAlign w:val="top"/>
          </w:tcPr>
          <w:p w14:paraId="6865F64C">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171F8A52">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4A6C8183">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2E446CC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1B5E6269">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2584D143">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CA123E2">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50DB9191">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45BEC8FE">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zh-CN"/>
              </w:rPr>
            </w:pPr>
          </w:p>
        </w:tc>
      </w:tr>
      <w:tr w14:paraId="131B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6" w:hRule="atLeast"/>
        </w:trPr>
        <w:tc>
          <w:tcPr>
            <w:tcW w:w="754" w:type="dxa"/>
            <w:tcBorders>
              <w:top w:val="single" w:color="auto" w:sz="4" w:space="0"/>
            </w:tcBorders>
            <w:vAlign w:val="top"/>
          </w:tcPr>
          <w:p w14:paraId="5D3F498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61AA20BB">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FD12B6C">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22645A3A">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default" w:ascii="仿宋_GB2312" w:hAnsi="仿宋_GB2312" w:eastAsia="仿宋_GB2312" w:cs="仿宋_GB2312"/>
                <w:spacing w:val="0"/>
                <w:sz w:val="28"/>
                <w:szCs w:val="28"/>
                <w:lang w:val="en-US" w:eastAsia="zh-CN"/>
              </w:rPr>
            </w:pPr>
            <w:r>
              <w:rPr>
                <w:rFonts w:hint="eastAsia" w:ascii="Times New Roman" w:hAnsi="Times New Roman" w:eastAsia="仿宋_GB2312" w:cs="仿宋_GB2312"/>
                <w:spacing w:val="0"/>
                <w:sz w:val="28"/>
                <w:szCs w:val="28"/>
                <w:lang w:val="en-US" w:eastAsia="zh-CN"/>
              </w:rPr>
              <w:t>6</w:t>
            </w:r>
          </w:p>
        </w:tc>
        <w:tc>
          <w:tcPr>
            <w:tcW w:w="3780" w:type="dxa"/>
            <w:tcBorders>
              <w:top w:val="single" w:color="auto" w:sz="4" w:space="0"/>
            </w:tcBorders>
            <w:vAlign w:val="top"/>
          </w:tcPr>
          <w:p w14:paraId="3261C08B">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b/>
                <w:bCs/>
                <w:spacing w:val="0"/>
                <w:sz w:val="28"/>
                <w:szCs w:val="28"/>
                <w:lang w:val="en-US" w:eastAsia="zh-CN"/>
              </w:rPr>
            </w:pPr>
            <w:r>
              <w:rPr>
                <w:rFonts w:hint="default" w:ascii="仿宋_GB2312" w:hAnsi="仿宋_GB2312" w:eastAsia="仿宋_GB2312" w:cs="仿宋_GB2312"/>
                <w:b/>
                <w:bCs/>
                <w:spacing w:val="0"/>
                <w:sz w:val="28"/>
                <w:szCs w:val="28"/>
                <w:lang w:val="en" w:eastAsia="zh-CN"/>
              </w:rPr>
              <w:t xml:space="preserve">    </w:t>
            </w:r>
            <w:r>
              <w:rPr>
                <w:rFonts w:hint="eastAsia" w:ascii="仿宋_GB2312" w:hAnsi="仿宋_GB2312" w:eastAsia="仿宋_GB2312" w:cs="仿宋_GB2312"/>
                <w:b/>
                <w:bCs/>
                <w:spacing w:val="0"/>
                <w:sz w:val="28"/>
                <w:szCs w:val="28"/>
                <w:lang w:val="en-US" w:eastAsia="zh-CN"/>
              </w:rPr>
              <w:t>六、付款条件</w:t>
            </w:r>
          </w:p>
          <w:p w14:paraId="2566AA30">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zh-CN"/>
              </w:rPr>
            </w:pPr>
            <w:r>
              <w:rPr>
                <w:rFonts w:hint="default" w:ascii="仿宋_GB2312" w:hAnsi="仿宋_GB2312" w:eastAsia="仿宋_GB2312" w:cs="仿宋_GB2312"/>
                <w:spacing w:val="0"/>
                <w:sz w:val="28"/>
                <w:szCs w:val="28"/>
                <w:lang w:val="en" w:eastAsia="zh-CN"/>
              </w:rPr>
              <w:t xml:space="preserve">    </w:t>
            </w:r>
            <w:r>
              <w:rPr>
                <w:rFonts w:hint="eastAsia" w:ascii="仿宋_GB2312" w:hAnsi="仿宋_GB2312" w:eastAsia="仿宋_GB2312" w:cs="仿宋_GB2312"/>
                <w:spacing w:val="0"/>
                <w:sz w:val="28"/>
                <w:szCs w:val="28"/>
                <w:lang w:val="en-US" w:eastAsia="zh-CN"/>
              </w:rPr>
              <w:t>采购费用按季度进行结算，双方于下一季度完成上季度采购量的核对。采购人向中标人支付采购费用前，中标人应向采购人提供合法有效的发票及按验收标准所提交合格的验收结算资料（验收单、结算单原件）；双方确认无误后，采购人将上季度采购费用以银行转账方式支付给中标人。</w:t>
            </w:r>
          </w:p>
        </w:tc>
        <w:tc>
          <w:tcPr>
            <w:tcW w:w="3772" w:type="dxa"/>
            <w:tcBorders>
              <w:top w:val="single" w:color="auto" w:sz="4" w:space="0"/>
            </w:tcBorders>
            <w:vAlign w:val="top"/>
          </w:tcPr>
          <w:p w14:paraId="1BA89124">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b/>
                <w:bCs/>
                <w:spacing w:val="0"/>
                <w:sz w:val="28"/>
                <w:szCs w:val="28"/>
                <w:lang w:val="en" w:eastAsia="zh-CN"/>
              </w:rPr>
              <w:t xml:space="preserve">   </w:t>
            </w:r>
          </w:p>
        </w:tc>
        <w:tc>
          <w:tcPr>
            <w:tcW w:w="1072" w:type="dxa"/>
            <w:tcBorders>
              <w:top w:val="single" w:color="auto" w:sz="4" w:space="0"/>
            </w:tcBorders>
            <w:vAlign w:val="top"/>
          </w:tcPr>
          <w:p w14:paraId="03B3186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31D773B">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EB234C1">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4E489CEE">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zh-CN"/>
              </w:rPr>
            </w:pPr>
          </w:p>
        </w:tc>
      </w:tr>
      <w:tr w14:paraId="0E49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trPr>
        <w:tc>
          <w:tcPr>
            <w:tcW w:w="754" w:type="dxa"/>
            <w:vAlign w:val="top"/>
          </w:tcPr>
          <w:p w14:paraId="5804F0EB">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14E2359">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269C845">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B17EFFB">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default" w:ascii="仿宋_GB2312" w:hAnsi="仿宋_GB2312" w:eastAsia="仿宋_GB2312" w:cs="仿宋_GB2312"/>
                <w:spacing w:val="0"/>
                <w:sz w:val="28"/>
                <w:szCs w:val="28"/>
                <w:lang w:val="en-US" w:eastAsia="zh-CN"/>
              </w:rPr>
            </w:pPr>
            <w:r>
              <w:rPr>
                <w:rFonts w:hint="eastAsia" w:ascii="Times New Roman" w:hAnsi="Times New Roman" w:eastAsia="仿宋_GB2312" w:cs="仿宋_GB2312"/>
                <w:spacing w:val="0"/>
                <w:sz w:val="28"/>
                <w:szCs w:val="28"/>
                <w:lang w:val="en-US" w:eastAsia="zh-CN"/>
              </w:rPr>
              <w:t>7</w:t>
            </w:r>
          </w:p>
        </w:tc>
        <w:tc>
          <w:tcPr>
            <w:tcW w:w="3780" w:type="dxa"/>
            <w:vAlign w:val="top"/>
          </w:tcPr>
          <w:p w14:paraId="5A5B95CD">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b/>
                <w:bCs/>
                <w:snapToGrid w:val="0"/>
                <w:color w:val="000000"/>
                <w:spacing w:val="0"/>
                <w:kern w:val="0"/>
                <w:sz w:val="28"/>
                <w:szCs w:val="28"/>
                <w:lang w:val="en-US" w:eastAsia="zh-CN" w:bidi="ar-SA"/>
              </w:rPr>
            </w:pPr>
            <w:r>
              <w:rPr>
                <w:rFonts w:hint="default" w:ascii="仿宋_GB2312" w:hAnsi="仿宋_GB2312" w:eastAsia="仿宋_GB2312" w:cs="仿宋_GB2312"/>
                <w:b/>
                <w:bCs/>
                <w:snapToGrid w:val="0"/>
                <w:color w:val="000000"/>
                <w:spacing w:val="0"/>
                <w:kern w:val="0"/>
                <w:sz w:val="28"/>
                <w:szCs w:val="28"/>
                <w:lang w:val="en" w:eastAsia="zh-CN" w:bidi="ar-SA"/>
              </w:rPr>
              <w:t xml:space="preserve">    </w:t>
            </w:r>
            <w:r>
              <w:rPr>
                <w:rFonts w:hint="eastAsia" w:ascii="仿宋_GB2312" w:hAnsi="仿宋_GB2312" w:eastAsia="仿宋_GB2312" w:cs="仿宋_GB2312"/>
                <w:b/>
                <w:bCs/>
                <w:snapToGrid w:val="0"/>
                <w:color w:val="000000"/>
                <w:spacing w:val="0"/>
                <w:kern w:val="0"/>
                <w:sz w:val="28"/>
                <w:szCs w:val="28"/>
                <w:lang w:val="en-US" w:eastAsia="zh-CN" w:bidi="ar-SA"/>
              </w:rPr>
              <w:t>七、知识产权要求</w:t>
            </w:r>
          </w:p>
          <w:p w14:paraId="2A60DE7B">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napToGrid w:val="0"/>
                <w:color w:val="000000"/>
                <w:spacing w:val="0"/>
                <w:kern w:val="0"/>
                <w:sz w:val="28"/>
                <w:szCs w:val="28"/>
                <w:lang w:val="en-US" w:eastAsia="zh-CN" w:bidi="ar-SA"/>
              </w:rPr>
            </w:pPr>
            <w:r>
              <w:rPr>
                <w:rFonts w:hint="default" w:ascii="仿宋_GB2312" w:hAnsi="仿宋_GB2312" w:eastAsia="仿宋_GB2312" w:cs="仿宋_GB2312"/>
                <w:snapToGrid w:val="0"/>
                <w:color w:val="000000"/>
                <w:spacing w:val="0"/>
                <w:kern w:val="0"/>
                <w:sz w:val="28"/>
                <w:szCs w:val="28"/>
                <w:lang w:val="en" w:eastAsia="zh-CN" w:bidi="ar-SA"/>
              </w:rPr>
              <w:t xml:space="preserve">    </w:t>
            </w:r>
            <w:r>
              <w:rPr>
                <w:rFonts w:hint="eastAsia" w:ascii="仿宋_GB2312" w:hAnsi="仿宋_GB2312" w:eastAsia="仿宋_GB2312" w:cs="仿宋_GB2312"/>
                <w:snapToGrid w:val="0"/>
                <w:color w:val="000000"/>
                <w:spacing w:val="0"/>
                <w:kern w:val="0"/>
                <w:sz w:val="28"/>
                <w:szCs w:val="28"/>
                <w:lang w:val="en-US" w:eastAsia="zh-CN" w:bidi="ar-SA"/>
              </w:rPr>
              <w:t>投标人须保证采购人在使用过程中不受到第三方关于侵犯专利权等知识产权的指控。任何第三方如果提出指控，投标人须与第三方交涉并承担可能发生的一切法律责任和费用。</w:t>
            </w:r>
          </w:p>
        </w:tc>
        <w:tc>
          <w:tcPr>
            <w:tcW w:w="3772" w:type="dxa"/>
            <w:vAlign w:val="top"/>
          </w:tcPr>
          <w:p w14:paraId="06DEDA5D">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napToGrid w:val="0"/>
                <w:color w:val="000000"/>
                <w:spacing w:val="0"/>
                <w:kern w:val="0"/>
                <w:sz w:val="28"/>
                <w:szCs w:val="28"/>
                <w:lang w:val="en-US" w:eastAsia="zh-CN" w:bidi="ar-SA"/>
              </w:rPr>
            </w:pPr>
            <w:r>
              <w:rPr>
                <w:rFonts w:hint="default" w:ascii="仿宋_GB2312" w:hAnsi="仿宋_GB2312" w:eastAsia="仿宋_GB2312" w:cs="仿宋_GB2312"/>
                <w:b/>
                <w:bCs/>
                <w:snapToGrid w:val="0"/>
                <w:color w:val="000000"/>
                <w:spacing w:val="0"/>
                <w:kern w:val="0"/>
                <w:sz w:val="28"/>
                <w:szCs w:val="28"/>
                <w:lang w:val="en" w:eastAsia="zh-CN" w:bidi="ar-SA"/>
              </w:rPr>
              <w:t xml:space="preserve">   </w:t>
            </w:r>
          </w:p>
        </w:tc>
        <w:tc>
          <w:tcPr>
            <w:tcW w:w="1072" w:type="dxa"/>
            <w:vAlign w:val="top"/>
          </w:tcPr>
          <w:p w14:paraId="0E7A242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DAE8683">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637F10C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E7D3DC4">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zh-CN"/>
              </w:rPr>
            </w:pPr>
          </w:p>
        </w:tc>
      </w:tr>
      <w:tr w14:paraId="3E6E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5" w:hRule="atLeast"/>
        </w:trPr>
        <w:tc>
          <w:tcPr>
            <w:tcW w:w="754" w:type="dxa"/>
            <w:vAlign w:val="top"/>
          </w:tcPr>
          <w:p w14:paraId="577FB08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5C7106D7">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2F021B05">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528BA43">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46EB0D4D">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default" w:ascii="仿宋_GB2312" w:hAnsi="仿宋_GB2312" w:eastAsia="仿宋_GB2312" w:cs="仿宋_GB2312"/>
                <w:spacing w:val="0"/>
                <w:sz w:val="28"/>
                <w:szCs w:val="28"/>
                <w:lang w:val="en-US" w:eastAsia="zh-CN"/>
              </w:rPr>
            </w:pPr>
            <w:r>
              <w:rPr>
                <w:rFonts w:hint="eastAsia" w:ascii="Times New Roman" w:hAnsi="Times New Roman" w:eastAsia="仿宋_GB2312" w:cs="仿宋_GB2312"/>
                <w:spacing w:val="0"/>
                <w:sz w:val="28"/>
                <w:szCs w:val="28"/>
                <w:lang w:val="en-US" w:eastAsia="zh-CN"/>
              </w:rPr>
              <w:t>8</w:t>
            </w:r>
          </w:p>
        </w:tc>
        <w:tc>
          <w:tcPr>
            <w:tcW w:w="3780" w:type="dxa"/>
            <w:vAlign w:val="top"/>
          </w:tcPr>
          <w:p w14:paraId="63BD6A40">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b/>
                <w:bCs/>
                <w:spacing w:val="0"/>
                <w:sz w:val="28"/>
                <w:szCs w:val="28"/>
                <w:lang w:val="en-US" w:eastAsia="zh-CN"/>
              </w:rPr>
            </w:pPr>
            <w:r>
              <w:rPr>
                <w:rFonts w:hint="default" w:ascii="仿宋_GB2312" w:hAnsi="仿宋_GB2312" w:eastAsia="仿宋_GB2312" w:cs="仿宋_GB2312"/>
                <w:b/>
                <w:bCs/>
                <w:spacing w:val="0"/>
                <w:sz w:val="28"/>
                <w:szCs w:val="28"/>
                <w:lang w:val="en" w:eastAsia="zh-CN"/>
              </w:rPr>
              <w:t xml:space="preserve">    </w:t>
            </w:r>
            <w:r>
              <w:rPr>
                <w:rFonts w:hint="eastAsia" w:ascii="仿宋_GB2312" w:hAnsi="仿宋_GB2312" w:eastAsia="仿宋_GB2312" w:cs="仿宋_GB2312"/>
                <w:b/>
                <w:bCs/>
                <w:spacing w:val="0"/>
                <w:sz w:val="28"/>
                <w:szCs w:val="28"/>
                <w:lang w:val="en-US" w:eastAsia="zh-CN"/>
              </w:rPr>
              <w:t>八、保密要求</w:t>
            </w:r>
          </w:p>
          <w:p w14:paraId="563F9287">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zh-CN"/>
              </w:rPr>
            </w:pPr>
            <w:r>
              <w:rPr>
                <w:rFonts w:hint="default" w:ascii="仿宋_GB2312" w:hAnsi="仿宋_GB2312" w:eastAsia="仿宋_GB2312" w:cs="仿宋_GB2312"/>
                <w:spacing w:val="0"/>
                <w:sz w:val="28"/>
                <w:szCs w:val="28"/>
                <w:lang w:val="en" w:eastAsia="zh-CN"/>
              </w:rPr>
              <w:t xml:space="preserve">    （一）</w:t>
            </w:r>
            <w:r>
              <w:rPr>
                <w:rFonts w:hint="eastAsia" w:ascii="仿宋_GB2312" w:hAnsi="仿宋_GB2312" w:eastAsia="仿宋_GB2312" w:cs="仿宋_GB2312"/>
                <w:spacing w:val="0"/>
                <w:sz w:val="28"/>
                <w:szCs w:val="28"/>
                <w:lang w:val="en-US" w:eastAsia="zh-CN"/>
              </w:rPr>
              <w:t>投标人应承诺遵守知识产权与安全保密有关规定，投标人必须承诺对本项目技术文件及由采购人提供的所有内部资料、技术文档和信息予以保密；</w:t>
            </w:r>
          </w:p>
          <w:p w14:paraId="626D5198">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zh-CN"/>
              </w:rPr>
            </w:pPr>
            <w:r>
              <w:rPr>
                <w:rFonts w:hint="default" w:ascii="仿宋_GB2312" w:hAnsi="仿宋_GB2312" w:eastAsia="仿宋_GB2312" w:cs="仿宋_GB2312"/>
                <w:spacing w:val="0"/>
                <w:sz w:val="28"/>
                <w:szCs w:val="28"/>
                <w:lang w:val="en" w:eastAsia="zh-CN"/>
              </w:rPr>
              <w:t xml:space="preserve">    （二）</w:t>
            </w:r>
            <w:r>
              <w:rPr>
                <w:rFonts w:hint="eastAsia" w:ascii="仿宋_GB2312" w:hAnsi="仿宋_GB2312" w:eastAsia="仿宋_GB2312" w:cs="仿宋_GB2312"/>
                <w:spacing w:val="0"/>
                <w:sz w:val="28"/>
                <w:szCs w:val="28"/>
                <w:lang w:val="en-US" w:eastAsia="zh-CN"/>
              </w:rPr>
              <w:t>未经采购人书面许可，不得以任何形式向第三方透露本项目标书以及本项目的任何内容。</w:t>
            </w:r>
          </w:p>
        </w:tc>
        <w:tc>
          <w:tcPr>
            <w:tcW w:w="3772" w:type="dxa"/>
            <w:vAlign w:val="top"/>
          </w:tcPr>
          <w:p w14:paraId="322BC92E">
            <w:pPr>
              <w:pStyle w:val="8"/>
              <w:keepNext w:val="0"/>
              <w:keepLines w:val="0"/>
              <w:pageBreakBefore w:val="0"/>
              <w:widowControl/>
              <w:kinsoku w:val="0"/>
              <w:wordWrap/>
              <w:overflowPunct/>
              <w:topLinePunct w:val="0"/>
              <w:autoSpaceDE w:val="0"/>
              <w:autoSpaceDN w:val="0"/>
              <w:bidi w:val="0"/>
              <w:adjustRightInd w:val="0"/>
              <w:snapToGrid w:val="0"/>
              <w:spacing w:before="81" w:line="440" w:lineRule="exact"/>
              <w:jc w:val="both"/>
              <w:textAlignment w:val="baseline"/>
              <w:rPr>
                <w:rFonts w:hint="eastAsia" w:ascii="仿宋_GB2312" w:hAnsi="仿宋_GB2312" w:eastAsia="仿宋_GB2312" w:cs="仿宋_GB2312"/>
                <w:spacing w:val="0"/>
                <w:sz w:val="28"/>
                <w:szCs w:val="28"/>
                <w:lang w:val="en-US" w:eastAsia="en-US"/>
              </w:rPr>
            </w:pPr>
            <w:r>
              <w:rPr>
                <w:rFonts w:hint="default" w:ascii="仿宋_GB2312" w:hAnsi="仿宋_GB2312" w:eastAsia="仿宋_GB2312" w:cs="仿宋_GB2312"/>
                <w:b/>
                <w:bCs/>
                <w:spacing w:val="0"/>
                <w:sz w:val="28"/>
                <w:szCs w:val="28"/>
                <w:lang w:val="en" w:eastAsia="zh-CN"/>
              </w:rPr>
              <w:t xml:space="preserve">    </w:t>
            </w:r>
          </w:p>
        </w:tc>
        <w:tc>
          <w:tcPr>
            <w:tcW w:w="1072" w:type="dxa"/>
            <w:vAlign w:val="top"/>
          </w:tcPr>
          <w:p w14:paraId="43EE850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712CD76C">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11BF9420">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both"/>
              <w:textAlignment w:val="baseline"/>
              <w:rPr>
                <w:rFonts w:hint="eastAsia" w:ascii="仿宋_GB2312" w:hAnsi="仿宋_GB2312" w:eastAsia="仿宋_GB2312" w:cs="仿宋_GB2312"/>
                <w:spacing w:val="0"/>
                <w:sz w:val="28"/>
                <w:szCs w:val="28"/>
                <w:lang w:val="en-US" w:eastAsia="zh-CN"/>
              </w:rPr>
            </w:pPr>
          </w:p>
          <w:p w14:paraId="32EE7488">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right="132"/>
              <w:jc w:val="center"/>
              <w:textAlignment w:val="baseline"/>
              <w:rPr>
                <w:rFonts w:hint="eastAsia" w:ascii="仿宋_GB2312" w:hAnsi="仿宋_GB2312" w:eastAsia="仿宋_GB2312" w:cs="仿宋_GB2312"/>
                <w:spacing w:val="0"/>
                <w:sz w:val="28"/>
                <w:szCs w:val="28"/>
                <w:lang w:val="en-US" w:eastAsia="zh-CN"/>
              </w:rPr>
            </w:pPr>
          </w:p>
        </w:tc>
      </w:tr>
    </w:tbl>
    <w:p w14:paraId="4F9A634C">
      <w:pPr>
        <w:jc w:val="both"/>
        <w:rPr>
          <w:rFonts w:ascii="Arial"/>
          <w:sz w:val="21"/>
        </w:rPr>
      </w:pPr>
    </w:p>
    <w:p w14:paraId="38E730BF">
      <w:pPr>
        <w:jc w:val="both"/>
        <w:rPr>
          <w:rFonts w:ascii="Arial"/>
          <w:sz w:val="21"/>
        </w:rPr>
      </w:pPr>
    </w:p>
    <w:p w14:paraId="6574F2A9">
      <w:pPr>
        <w:jc w:val="both"/>
        <w:rPr>
          <w:rFonts w:ascii="Arial"/>
          <w:sz w:val="21"/>
        </w:rPr>
      </w:pPr>
    </w:p>
    <w:p w14:paraId="1D13A504">
      <w:pPr>
        <w:jc w:val="both"/>
        <w:rPr>
          <w:rFonts w:ascii="Arial"/>
          <w:sz w:val="21"/>
        </w:rPr>
      </w:pPr>
    </w:p>
    <w:p w14:paraId="4C135709">
      <w:pPr>
        <w:pStyle w:val="8"/>
        <w:keepNext w:val="0"/>
        <w:keepLines w:val="0"/>
        <w:pageBreakBefore w:val="0"/>
        <w:widowControl/>
        <w:kinsoku w:val="0"/>
        <w:wordWrap/>
        <w:overflowPunct/>
        <w:topLinePunct w:val="0"/>
        <w:autoSpaceDE w:val="0"/>
        <w:autoSpaceDN w:val="0"/>
        <w:bidi w:val="0"/>
        <w:adjustRightInd w:val="0"/>
        <w:snapToGrid w:val="0"/>
        <w:spacing w:before="60" w:line="440" w:lineRule="exact"/>
        <w:ind w:left="165" w:right="132" w:firstLine="7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14:paraId="5EF3F01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28"/>
          <w:szCs w:val="28"/>
          <w:lang w:val="en-US" w:eastAsia="zh-CN"/>
        </w:rPr>
      </w:pPr>
      <w:r>
        <w:rPr>
          <w:rFonts w:hint="default" w:ascii="仿宋" w:hAnsi="仿宋" w:eastAsia="仿宋" w:cs="仿宋"/>
          <w:sz w:val="28"/>
          <w:szCs w:val="28"/>
          <w:lang w:val="en" w:eastAsia="zh-CN"/>
        </w:rPr>
        <w:t xml:space="preserve">    </w:t>
      </w:r>
      <w:r>
        <w:rPr>
          <w:rFonts w:hint="eastAsia" w:ascii="Times New Roman" w:hAnsi="Times New Roman" w:eastAsia="仿宋" w:cs="仿宋"/>
          <w:sz w:val="28"/>
          <w:szCs w:val="28"/>
          <w:lang w:val="en-US" w:eastAsia="zh-CN"/>
        </w:rPr>
        <w:t>1</w:t>
      </w:r>
      <w:r>
        <w:rPr>
          <w:rFonts w:hint="eastAsia" w:ascii="仿宋" w:hAnsi="仿宋" w:eastAsia="仿宋" w:cs="仿宋"/>
          <w:sz w:val="28"/>
          <w:szCs w:val="28"/>
          <w:lang w:val="en-US" w:eastAsia="zh-CN"/>
        </w:rPr>
        <w:t>.说明：应对照采购文件的商务要求逐条作出明确响应，并作出偏离说明；</w:t>
      </w:r>
    </w:p>
    <w:p w14:paraId="153966D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28"/>
          <w:szCs w:val="28"/>
          <w:lang w:val="en-US" w:eastAsia="zh-CN"/>
        </w:rPr>
      </w:pPr>
      <w:r>
        <w:rPr>
          <w:rFonts w:hint="default" w:ascii="仿宋" w:hAnsi="仿宋" w:eastAsia="仿宋" w:cs="仿宋"/>
          <w:sz w:val="28"/>
          <w:szCs w:val="28"/>
          <w:lang w:val="en" w:eastAsia="zh-CN"/>
        </w:rPr>
        <w:t xml:space="preserve">    </w:t>
      </w:r>
      <w:r>
        <w:rPr>
          <w:rFonts w:hint="eastAsia" w:ascii="Times New Roman" w:hAnsi="Times New Roman" w:eastAsia="仿宋" w:cs="仿宋"/>
          <w:sz w:val="28"/>
          <w:szCs w:val="28"/>
          <w:lang w:val="en-US" w:eastAsia="zh-CN"/>
        </w:rPr>
        <w:t>2</w:t>
      </w:r>
      <w:r>
        <w:rPr>
          <w:rFonts w:hint="eastAsia" w:ascii="仿宋" w:hAnsi="仿宋" w:eastAsia="仿宋" w:cs="仿宋"/>
          <w:sz w:val="28"/>
          <w:szCs w:val="28"/>
          <w:lang w:val="en-US" w:eastAsia="zh-CN"/>
        </w:rPr>
        <w:t>.供应商应根据自身的承诺，对照商务要求，在“偏离说明”中注明“正偏离”、“负偏离”或者“无偏离”。既不属于“正偏离”也不属于“负偏离”即为“无偏离”。当响应文件的商务内容低于采购文件要求时，竞标人应当如实写明“负偏离”，否则视为虚假应标；</w:t>
      </w:r>
    </w:p>
    <w:p w14:paraId="4A805D73">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28"/>
          <w:szCs w:val="28"/>
          <w:lang w:val="en-US" w:eastAsia="zh-CN"/>
        </w:rPr>
      </w:pPr>
      <w:r>
        <w:rPr>
          <w:rFonts w:hint="default" w:ascii="仿宋" w:hAnsi="仿宋" w:eastAsia="仿宋" w:cs="仿宋"/>
          <w:sz w:val="28"/>
          <w:szCs w:val="28"/>
          <w:lang w:val="en" w:eastAsia="zh-CN"/>
        </w:rPr>
        <w:t xml:space="preserve">    </w:t>
      </w:r>
      <w:r>
        <w:rPr>
          <w:rFonts w:hint="eastAsia" w:ascii="Times New Roman" w:hAnsi="Times New Roman" w:eastAsia="仿宋" w:cs="仿宋"/>
          <w:sz w:val="28"/>
          <w:szCs w:val="28"/>
          <w:lang w:val="en-US" w:eastAsia="zh-CN"/>
        </w:rPr>
        <w:t>3</w:t>
      </w:r>
      <w:r>
        <w:rPr>
          <w:rFonts w:hint="eastAsia" w:ascii="仿宋" w:hAnsi="仿宋" w:eastAsia="仿宋" w:cs="仿宋"/>
          <w:sz w:val="28"/>
          <w:szCs w:val="28"/>
          <w:lang w:val="en-US" w:eastAsia="zh-CN"/>
        </w:rPr>
        <w:t>.表格内容均需按要求填写并盖章，不得留空，否则按竞标无效处理。</w:t>
      </w:r>
    </w:p>
    <w:p w14:paraId="6482A03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30"/>
          <w:szCs w:val="30"/>
          <w:lang w:val="en-US" w:eastAsia="zh-CN"/>
        </w:rPr>
      </w:pPr>
    </w:p>
    <w:p w14:paraId="5640AA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30"/>
          <w:szCs w:val="30"/>
          <w:lang w:val="en-US" w:eastAsia="zh-CN"/>
        </w:rPr>
      </w:pPr>
    </w:p>
    <w:p w14:paraId="2B1BCFD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both"/>
        <w:textAlignment w:val="baseline"/>
        <w:rPr>
          <w:rFonts w:hint="eastAsia" w:ascii="仿宋" w:hAnsi="仿宋" w:eastAsia="仿宋" w:cs="仿宋"/>
          <w:sz w:val="30"/>
          <w:szCs w:val="30"/>
          <w:lang w:val="en-US" w:eastAsia="zh-CN"/>
        </w:rPr>
      </w:pPr>
    </w:p>
    <w:p w14:paraId="2DF80AF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center"/>
        <w:textAlignment w:val="baseline"/>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 xml:space="preserve">      </w:t>
      </w:r>
      <w:r>
        <w:rPr>
          <w:rFonts w:hint="eastAsia" w:ascii="仿宋" w:hAnsi="仿宋" w:eastAsia="仿宋" w:cs="仿宋"/>
          <w:sz w:val="30"/>
          <w:szCs w:val="30"/>
          <w:lang w:val="en-US" w:eastAsia="zh-CN"/>
        </w:rPr>
        <w:t>供应商名称（公章）：</w:t>
      </w:r>
    </w:p>
    <w:p w14:paraId="3911833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center"/>
        <w:textAlignment w:val="baseline"/>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 xml:space="preserve">             </w:t>
      </w:r>
      <w:r>
        <w:rPr>
          <w:rFonts w:hint="eastAsia" w:ascii="仿宋" w:hAnsi="仿宋" w:eastAsia="仿宋" w:cs="仿宋"/>
          <w:sz w:val="30"/>
          <w:szCs w:val="30"/>
          <w:lang w:val="en-US" w:eastAsia="zh-CN"/>
        </w:rPr>
        <w:t>委托代理人或法定代理人签字：</w:t>
      </w:r>
    </w:p>
    <w:p w14:paraId="05B473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0" w:line="440" w:lineRule="exact"/>
        <w:ind w:left="235" w:leftChars="0" w:right="132" w:rightChars="0"/>
        <w:jc w:val="center"/>
        <w:textAlignment w:val="baseline"/>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 xml:space="preserve">                    </w:t>
      </w:r>
      <w:r>
        <w:rPr>
          <w:rFonts w:hint="eastAsia" w:ascii="仿宋" w:hAnsi="仿宋" w:eastAsia="仿宋" w:cs="仿宋"/>
          <w:sz w:val="30"/>
          <w:szCs w:val="30"/>
          <w:lang w:val="en-US" w:eastAsia="zh-CN"/>
        </w:rPr>
        <w:t>日期：    年    月    日</w:t>
      </w:r>
    </w:p>
    <w:sectPr>
      <w:footerReference r:id="rId5" w:type="default"/>
      <w:pgSz w:w="11906" w:h="16838"/>
      <w:pgMar w:top="545" w:right="1395" w:bottom="1438" w:left="904" w:header="0" w:footer="1203"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FD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523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F523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362DD0"/>
    <w:rsid w:val="0A7E0A9A"/>
    <w:rsid w:val="16017E52"/>
    <w:rsid w:val="1ABF459D"/>
    <w:rsid w:val="1B2F50C2"/>
    <w:rsid w:val="2FE62009"/>
    <w:rsid w:val="39481C5B"/>
    <w:rsid w:val="3AEE384C"/>
    <w:rsid w:val="41CB578C"/>
    <w:rsid w:val="45611674"/>
    <w:rsid w:val="4E6E8210"/>
    <w:rsid w:val="57B871C0"/>
    <w:rsid w:val="58173BC2"/>
    <w:rsid w:val="5AFA221F"/>
    <w:rsid w:val="5C9B6038"/>
    <w:rsid w:val="5FBB0B4A"/>
    <w:rsid w:val="5FDB2350"/>
    <w:rsid w:val="621D33AE"/>
    <w:rsid w:val="67CD7447"/>
    <w:rsid w:val="6EC977DA"/>
    <w:rsid w:val="6FBF5264"/>
    <w:rsid w:val="75FA02E1"/>
    <w:rsid w:val="7B6FD5B2"/>
    <w:rsid w:val="7F7F628F"/>
    <w:rsid w:val="7FCF2982"/>
    <w:rsid w:val="8FFE1044"/>
    <w:rsid w:val="B7FB6F62"/>
    <w:rsid w:val="E4DF3E68"/>
    <w:rsid w:val="FF2F923F"/>
    <w:rsid w:val="FF69B98D"/>
    <w:rsid w:val="FFECE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1633</Words>
  <Characters>1646</Characters>
  <TotalTime>2</TotalTime>
  <ScaleCrop>false</ScaleCrop>
  <LinksUpToDate>false</LinksUpToDate>
  <CharactersWithSpaces>1827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2025-03-04T10:14:00Z</dcterms:created>
  <dc:creator>Kingsoft-PDF</dc:creator>
  <cp:lastModifiedBy>超大胆</cp:lastModifiedBy>
  <cp:lastPrinted>2025-12-09T00:50:00Z</cp:lastPrinted>
  <dcterms:modified xsi:type="dcterms:W3CDTF">2025-12-24T09:43:04Z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2025-03-03T10:14:50Z</vt:filetime>
  </property>
  <property fmtid="{D5CDD505-2E9C-101B-9397-08002B2CF9AE}" pid="4" name="UsrData">
    <vt:lpwstr>67c51096bf102c001f14b7c2wl</vt:lpwstr>
  </property>
  <property fmtid="{D5CDD505-2E9C-101B-9397-08002B2CF9AE}" pid="5" name="KSOProductBuildVer">
    <vt:lpwstr>2052-12.1.0.24034</vt:lpwstr>
  </property>
  <property fmtid="{D5CDD505-2E9C-101B-9397-08002B2CF9AE}" pid="6" name="KSOTemplateDocerSaveRecord">
    <vt:lpwstr>eyJoZGlkIjoiZWU1NDNiMGU1MDdhMzc5ZDI3ZDU1NzQ0MjAxNmY3MTIiLCJ1c2VySWQiOiI1Mjc5OTkxODcifQ==</vt:lpwstr>
  </property>
  <property fmtid="{D5CDD505-2E9C-101B-9397-08002B2CF9AE}" pid="7" name="ICV">
    <vt:lpwstr>0BC37772B5C54B32A000A1E157C7344E_12</vt:lpwstr>
  </property>
</Properties>
</file>